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3065" w14:textId="52F62EB3" w:rsidR="000A23F5" w:rsidRPr="000A23F5" w:rsidRDefault="000A23F5" w:rsidP="000A23F5">
      <w:pPr>
        <w:rPr>
          <w:rFonts w:ascii="Times New Roman" w:hAnsi="Times New Roman" w:cs="Times New Roman"/>
          <w:b/>
          <w:sz w:val="24"/>
          <w:szCs w:val="24"/>
          <w:lang w:val="en-US"/>
        </w:rPr>
      </w:pPr>
      <w:r w:rsidRPr="000A23F5">
        <w:rPr>
          <w:rFonts w:ascii="Times New Roman" w:hAnsi="Times New Roman" w:cs="Times New Roman"/>
          <w:b/>
          <w:sz w:val="24"/>
          <w:szCs w:val="24"/>
          <w:lang w:val="en-US"/>
        </w:rPr>
        <w:t>Title: Academic goals and autonomous learning strategies for training future health professionals</w:t>
      </w:r>
    </w:p>
    <w:p w14:paraId="328C8B41" w14:textId="3AA9FB67" w:rsidR="000A23F5" w:rsidRPr="000A23F5" w:rsidRDefault="000A23F5" w:rsidP="000A23F5">
      <w:pPr>
        <w:rPr>
          <w:rFonts w:ascii="Times New Roman" w:hAnsi="Times New Roman" w:cs="Times New Roman"/>
          <w:b/>
          <w:sz w:val="24"/>
          <w:szCs w:val="24"/>
          <w:lang w:val="en-US"/>
        </w:rPr>
      </w:pPr>
      <w:r w:rsidRPr="000A23F5">
        <w:rPr>
          <w:rFonts w:ascii="Times New Roman" w:hAnsi="Times New Roman" w:cs="Times New Roman"/>
          <w:b/>
          <w:sz w:val="24"/>
          <w:szCs w:val="24"/>
          <w:lang w:val="en-US"/>
        </w:rPr>
        <w:t>Authors:</w:t>
      </w:r>
    </w:p>
    <w:p w14:paraId="54C6FA21" w14:textId="77777777" w:rsidR="000A23F5" w:rsidRPr="00AE2F9E" w:rsidRDefault="000A23F5" w:rsidP="000A23F5">
      <w:pPr>
        <w:pStyle w:val="Default"/>
        <w:spacing w:line="360" w:lineRule="auto"/>
        <w:rPr>
          <w:color w:val="222222"/>
        </w:rPr>
      </w:pPr>
      <w:proofErr w:type="spellStart"/>
      <w:r w:rsidRPr="00AE2F9E">
        <w:t>Yosbanys</w:t>
      </w:r>
      <w:proofErr w:type="spellEnd"/>
      <w:r w:rsidRPr="00AE2F9E">
        <w:t xml:space="preserve"> Roque </w:t>
      </w:r>
      <w:proofErr w:type="gramStart"/>
      <w:r w:rsidRPr="00AE2F9E">
        <w:t>Herrera,</w:t>
      </w:r>
      <w:r w:rsidRPr="00AE2F9E">
        <w:rPr>
          <w:vertAlign w:val="superscript"/>
        </w:rPr>
        <w:t>(</w:t>
      </w:r>
      <w:proofErr w:type="gramEnd"/>
      <w:r w:rsidRPr="00AE2F9E">
        <w:rPr>
          <w:vertAlign w:val="superscript"/>
        </w:rPr>
        <w:t>1)</w:t>
      </w:r>
      <w:r w:rsidRPr="00AE2F9E">
        <w:t xml:space="preserve"> Pedro Ángel Valdivia Moral,</w:t>
      </w:r>
      <w:r w:rsidRPr="00AE2F9E">
        <w:rPr>
          <w:vertAlign w:val="superscript"/>
        </w:rPr>
        <w:t>(2)</w:t>
      </w:r>
      <w:r w:rsidRPr="00AE2F9E">
        <w:t xml:space="preserve"> </w:t>
      </w:r>
      <w:r w:rsidRPr="00AE2F9E">
        <w:rPr>
          <w:color w:val="222222"/>
        </w:rPr>
        <w:t>Santiago Alonso García,</w:t>
      </w:r>
      <w:r w:rsidRPr="00AE2F9E">
        <w:rPr>
          <w:color w:val="222222"/>
          <w:vertAlign w:val="superscript"/>
        </w:rPr>
        <w:t>(3)</w:t>
      </w:r>
      <w:r w:rsidRPr="00AE2F9E">
        <w:t xml:space="preserve"> María Luisa </w:t>
      </w:r>
      <w:proofErr w:type="spellStart"/>
      <w:r w:rsidRPr="00AE2F9E">
        <w:t>Zagalaz</w:t>
      </w:r>
      <w:proofErr w:type="spellEnd"/>
      <w:r w:rsidRPr="00AE2F9E">
        <w:t xml:space="preserve"> Sánchez.</w:t>
      </w:r>
      <w:r w:rsidRPr="00AE2F9E">
        <w:rPr>
          <w:color w:val="222222"/>
          <w:vertAlign w:val="superscript"/>
        </w:rPr>
        <w:t>(4)</w:t>
      </w:r>
    </w:p>
    <w:p w14:paraId="7076A2B2" w14:textId="77777777" w:rsidR="000A23F5" w:rsidRPr="00AE2F9E" w:rsidRDefault="000A23F5" w:rsidP="000A23F5">
      <w:pPr>
        <w:pStyle w:val="Default"/>
        <w:spacing w:line="360" w:lineRule="auto"/>
      </w:pPr>
      <w:r w:rsidRPr="00AE2F9E">
        <w:rPr>
          <w:vertAlign w:val="superscript"/>
        </w:rPr>
        <w:t>1</w:t>
      </w:r>
      <w:r w:rsidRPr="00AE2F9E">
        <w:t>Universidad Nacional de Chimborazo, Universidad de Jaén</w:t>
      </w:r>
    </w:p>
    <w:p w14:paraId="124C7749" w14:textId="77777777" w:rsidR="000A23F5" w:rsidRPr="00AE2F9E" w:rsidRDefault="000A23F5" w:rsidP="000A23F5">
      <w:pPr>
        <w:pStyle w:val="Default"/>
        <w:spacing w:line="360" w:lineRule="auto"/>
      </w:pPr>
      <w:r w:rsidRPr="00AE2F9E">
        <w:rPr>
          <w:vertAlign w:val="superscript"/>
        </w:rPr>
        <w:t>2</w:t>
      </w:r>
      <w:r w:rsidRPr="00AE2F9E">
        <w:t>Universidad de Granada</w:t>
      </w:r>
    </w:p>
    <w:p w14:paraId="1A88DF4C" w14:textId="77777777" w:rsidR="000A23F5" w:rsidRPr="00AE2F9E" w:rsidRDefault="000A23F5" w:rsidP="000A23F5">
      <w:pPr>
        <w:pStyle w:val="Default"/>
        <w:spacing w:line="360" w:lineRule="auto"/>
      </w:pPr>
      <w:r w:rsidRPr="00AE2F9E">
        <w:rPr>
          <w:vertAlign w:val="superscript"/>
        </w:rPr>
        <w:t>3</w:t>
      </w:r>
      <w:r w:rsidRPr="00AE2F9E">
        <w:t xml:space="preserve">Universidad de Sevilla </w:t>
      </w:r>
    </w:p>
    <w:p w14:paraId="0FEB2DCB" w14:textId="77777777" w:rsidR="000A23F5" w:rsidRPr="00AE2F9E" w:rsidRDefault="000A23F5" w:rsidP="000A23F5">
      <w:pPr>
        <w:pStyle w:val="Default"/>
        <w:spacing w:line="360" w:lineRule="auto"/>
      </w:pPr>
      <w:r w:rsidRPr="00AE2F9E">
        <w:rPr>
          <w:vertAlign w:val="superscript"/>
        </w:rPr>
        <w:t>4</w:t>
      </w:r>
      <w:r w:rsidRPr="00AE2F9E">
        <w:t>Universidad de Jaén</w:t>
      </w:r>
    </w:p>
    <w:p w14:paraId="4C488DA7" w14:textId="5C672040" w:rsidR="000A23F5" w:rsidRPr="00FE2D86" w:rsidRDefault="000A23F5" w:rsidP="000A23F5">
      <w:pPr>
        <w:autoSpaceDE w:val="0"/>
        <w:autoSpaceDN w:val="0"/>
        <w:adjustRightInd w:val="0"/>
        <w:rPr>
          <w:rFonts w:ascii="Times New Roman" w:hAnsi="Times New Roman" w:cs="Times New Roman"/>
          <w:sz w:val="24"/>
          <w:szCs w:val="24"/>
        </w:rPr>
      </w:pPr>
      <w:proofErr w:type="spellStart"/>
      <w:r w:rsidRPr="00FE2D86">
        <w:rPr>
          <w:rFonts w:ascii="Times New Roman" w:hAnsi="Times New Roman" w:cs="Times New Roman"/>
          <w:b/>
          <w:sz w:val="24"/>
          <w:szCs w:val="24"/>
        </w:rPr>
        <w:t>Corresponding</w:t>
      </w:r>
      <w:proofErr w:type="spellEnd"/>
      <w:r w:rsidRPr="00FE2D86">
        <w:rPr>
          <w:rFonts w:ascii="Times New Roman" w:hAnsi="Times New Roman" w:cs="Times New Roman"/>
          <w:b/>
          <w:sz w:val="24"/>
          <w:szCs w:val="24"/>
        </w:rPr>
        <w:t xml:space="preserve"> </w:t>
      </w:r>
      <w:proofErr w:type="spellStart"/>
      <w:r w:rsidRPr="00FE2D86">
        <w:rPr>
          <w:rFonts w:ascii="Times New Roman" w:hAnsi="Times New Roman" w:cs="Times New Roman"/>
          <w:b/>
          <w:sz w:val="24"/>
          <w:szCs w:val="24"/>
        </w:rPr>
        <w:t>author</w:t>
      </w:r>
      <w:proofErr w:type="spellEnd"/>
      <w:r w:rsidRPr="00FE2D86">
        <w:rPr>
          <w:rFonts w:ascii="Times New Roman" w:hAnsi="Times New Roman" w:cs="Times New Roman"/>
          <w:b/>
          <w:sz w:val="24"/>
          <w:szCs w:val="24"/>
        </w:rPr>
        <w:t>:</w:t>
      </w:r>
    </w:p>
    <w:p w14:paraId="166F0F65" w14:textId="7B4D1E33" w:rsidR="000A23F5" w:rsidRDefault="000A23F5" w:rsidP="000A23F5">
      <w:pPr>
        <w:autoSpaceDE w:val="0"/>
        <w:autoSpaceDN w:val="0"/>
        <w:adjustRightInd w:val="0"/>
        <w:rPr>
          <w:rFonts w:ascii="Times New Roman" w:hAnsi="Times New Roman" w:cs="Times New Roman"/>
          <w:sz w:val="24"/>
          <w:szCs w:val="24"/>
        </w:rPr>
      </w:pPr>
      <w:proofErr w:type="spellStart"/>
      <w:r w:rsidRPr="00AE2F9E">
        <w:rPr>
          <w:rFonts w:ascii="Times New Roman" w:hAnsi="Times New Roman" w:cs="Times New Roman"/>
          <w:sz w:val="24"/>
          <w:szCs w:val="24"/>
        </w:rPr>
        <w:t>Yosbanys</w:t>
      </w:r>
      <w:proofErr w:type="spellEnd"/>
      <w:r w:rsidRPr="00AE2F9E">
        <w:rPr>
          <w:rFonts w:ascii="Times New Roman" w:hAnsi="Times New Roman" w:cs="Times New Roman"/>
          <w:sz w:val="24"/>
          <w:szCs w:val="24"/>
        </w:rPr>
        <w:t xml:space="preserve"> Roque Herrera, email: yroque@unach.edu.ec, teléfono: 0993928193, dirección: Leopoldo Freire 23-25 y la Paz, Riobamba, Chimborazo, Ecuador.</w:t>
      </w:r>
    </w:p>
    <w:p w14:paraId="5294D093" w14:textId="77777777" w:rsidR="00457A8F" w:rsidRPr="00AE2F9E" w:rsidRDefault="00457A8F" w:rsidP="00457A8F">
      <w:pPr>
        <w:rPr>
          <w:rFonts w:ascii="Times New Roman" w:hAnsi="Times New Roman" w:cs="Times New Roman"/>
          <w:b/>
          <w:sz w:val="24"/>
          <w:szCs w:val="24"/>
          <w:lang w:val="es-419"/>
        </w:rPr>
      </w:pPr>
      <w:r w:rsidRPr="00AE2F9E">
        <w:rPr>
          <w:rFonts w:ascii="Times New Roman" w:hAnsi="Times New Roman" w:cs="Times New Roman"/>
          <w:b/>
          <w:sz w:val="24"/>
          <w:szCs w:val="24"/>
          <w:lang w:val="es-419"/>
        </w:rPr>
        <w:t>RESUMEN</w:t>
      </w:r>
    </w:p>
    <w:p w14:paraId="32126721" w14:textId="77777777" w:rsidR="00457A8F" w:rsidRPr="00AE2F9E" w:rsidRDefault="00457A8F" w:rsidP="00457A8F">
      <w:pPr>
        <w:rPr>
          <w:rFonts w:ascii="Times New Roman" w:hAnsi="Times New Roman" w:cs="Times New Roman"/>
          <w:sz w:val="24"/>
          <w:szCs w:val="24"/>
          <w:lang w:val="es-419"/>
        </w:rPr>
      </w:pPr>
      <w:bookmarkStart w:id="0" w:name="OLE_LINK1"/>
      <w:bookmarkStart w:id="1" w:name="OLE_LINK2"/>
      <w:r w:rsidRPr="00AE2F9E">
        <w:rPr>
          <w:rFonts w:ascii="Times New Roman" w:hAnsi="Times New Roman" w:cs="Times New Roman"/>
          <w:b/>
          <w:sz w:val="24"/>
          <w:szCs w:val="24"/>
          <w:lang w:val="es-419"/>
        </w:rPr>
        <w:t>Objetivo</w:t>
      </w:r>
      <w:r w:rsidRPr="00AE2F9E">
        <w:rPr>
          <w:rFonts w:ascii="Times New Roman" w:hAnsi="Times New Roman" w:cs="Times New Roman"/>
          <w:sz w:val="24"/>
          <w:szCs w:val="24"/>
          <w:lang w:val="es-419"/>
        </w:rPr>
        <w:t xml:space="preserve">: determinar la correlación entre metas académicas y estrategias de aprendizaje en los estudiantes matriculados de primero a sexto semestre, durante el período académico </w:t>
      </w:r>
      <w:r w:rsidRPr="00AE2F9E">
        <w:rPr>
          <w:rFonts w:ascii="Times New Roman" w:hAnsi="Times New Roman" w:cs="Times New Roman"/>
          <w:sz w:val="24"/>
          <w:szCs w:val="24"/>
          <w:lang w:val="es-ES_tradnl"/>
        </w:rPr>
        <w:t xml:space="preserve">octubre 2016 - febrero 2017, en la </w:t>
      </w:r>
      <w:r w:rsidRPr="00AE2F9E">
        <w:rPr>
          <w:rFonts w:ascii="Times New Roman" w:hAnsi="Times New Roman" w:cs="Times New Roman"/>
          <w:sz w:val="24"/>
          <w:szCs w:val="24"/>
          <w:lang w:val="es-419"/>
        </w:rPr>
        <w:t xml:space="preserve">Facultad de Ciencias de la Salud, de la Universidad Nacional de Chimborazo. </w:t>
      </w:r>
      <w:r w:rsidRPr="00AE2F9E">
        <w:rPr>
          <w:rFonts w:ascii="Times New Roman" w:hAnsi="Times New Roman" w:cs="Times New Roman"/>
          <w:b/>
          <w:sz w:val="24"/>
          <w:szCs w:val="24"/>
          <w:lang w:val="es-419"/>
        </w:rPr>
        <w:t>Método</w:t>
      </w:r>
      <w:r w:rsidRPr="00AE2F9E">
        <w:rPr>
          <w:rFonts w:ascii="Times New Roman" w:hAnsi="Times New Roman" w:cs="Times New Roman"/>
          <w:sz w:val="24"/>
          <w:szCs w:val="24"/>
          <w:lang w:val="es-419"/>
        </w:rPr>
        <w:t xml:space="preserve">: estudio observacional correlacional, en el que se aplicaron los </w:t>
      </w:r>
      <w:r w:rsidRPr="00AE2F9E">
        <w:rPr>
          <w:rFonts w:ascii="Times New Roman" w:hAnsi="Times New Roman" w:cs="Times New Roman"/>
          <w:sz w:val="24"/>
          <w:szCs w:val="24"/>
          <w:lang w:val="es-ES_tradnl"/>
        </w:rPr>
        <w:t xml:space="preserve">cuestionarios para la evaluación de metas académicas (CEMA) y de estrategias </w:t>
      </w:r>
      <w:r w:rsidRPr="00AE2F9E">
        <w:rPr>
          <w:rFonts w:ascii="Times New Roman" w:hAnsi="Times New Roman" w:cs="Times New Roman"/>
          <w:sz w:val="24"/>
          <w:szCs w:val="24"/>
        </w:rPr>
        <w:t xml:space="preserve">de trabajo autónomo (CETA), cuyos datos resultantes fueron analizados e interpretados utilizando </w:t>
      </w:r>
      <w:r w:rsidRPr="00AE2F9E">
        <w:rPr>
          <w:rFonts w:ascii="Times New Roman" w:hAnsi="Times New Roman" w:cs="Times New Roman"/>
          <w:sz w:val="24"/>
          <w:szCs w:val="24"/>
          <w:lang w:val="es-ES_tradnl"/>
        </w:rPr>
        <w:t xml:space="preserve">métodos estadísticos del nivel descriptivo (frecuencias relativas y absolutas, medias, medianas y modas) e inferencial no paramétrico (Prueba de Correlación de Pearson). </w:t>
      </w:r>
      <w:r w:rsidRPr="00AE2F9E">
        <w:rPr>
          <w:rFonts w:ascii="Times New Roman" w:hAnsi="Times New Roman" w:cs="Times New Roman"/>
          <w:b/>
          <w:sz w:val="24"/>
          <w:szCs w:val="24"/>
          <w:lang w:val="es-ES_tradnl"/>
        </w:rPr>
        <w:t>Resultados</w:t>
      </w:r>
      <w:r w:rsidRPr="00AE2F9E">
        <w:rPr>
          <w:rFonts w:ascii="Times New Roman" w:hAnsi="Times New Roman" w:cs="Times New Roman"/>
          <w:sz w:val="24"/>
          <w:szCs w:val="24"/>
          <w:lang w:val="es-ES_tradnl"/>
        </w:rPr>
        <w:t>: los tipos de</w:t>
      </w:r>
      <w:r w:rsidRPr="00AE2F9E">
        <w:rPr>
          <w:rFonts w:ascii="Times New Roman" w:hAnsi="Times New Roman" w:cs="Times New Roman"/>
          <w:sz w:val="24"/>
          <w:szCs w:val="24"/>
          <w:lang w:val="es-419"/>
        </w:rPr>
        <w:t xml:space="preserve"> metas académicas y las estrategias de aprendizaje autónomo tuvieron un comportamiento homogéneo en casi la totalidad de las carreras de la oferta académica estudiada; predominó la categoría </w:t>
      </w:r>
      <w:r w:rsidRPr="00AE2F9E">
        <w:rPr>
          <w:rFonts w:ascii="Times New Roman" w:hAnsi="Times New Roman" w:cs="Times New Roman"/>
          <w:i/>
          <w:sz w:val="24"/>
          <w:szCs w:val="24"/>
          <w:lang w:val="es-419"/>
        </w:rPr>
        <w:t>algunas veces</w:t>
      </w:r>
      <w:r w:rsidRPr="00AE2F9E">
        <w:rPr>
          <w:rFonts w:ascii="Times New Roman" w:hAnsi="Times New Roman" w:cs="Times New Roman"/>
          <w:sz w:val="24"/>
          <w:szCs w:val="24"/>
          <w:lang w:val="es-419"/>
        </w:rPr>
        <w:t xml:space="preserve"> en la mayoría de las dimensiones investigadas. </w:t>
      </w:r>
      <w:r w:rsidRPr="00AE2F9E">
        <w:rPr>
          <w:rFonts w:ascii="Times New Roman" w:hAnsi="Times New Roman" w:cs="Times New Roman"/>
          <w:b/>
          <w:sz w:val="24"/>
          <w:szCs w:val="24"/>
          <w:lang w:val="es-419"/>
        </w:rPr>
        <w:t>Conclusión</w:t>
      </w:r>
      <w:r w:rsidRPr="00AE2F9E">
        <w:rPr>
          <w:rFonts w:ascii="Times New Roman" w:hAnsi="Times New Roman" w:cs="Times New Roman"/>
          <w:sz w:val="24"/>
          <w:szCs w:val="24"/>
          <w:lang w:val="es-419"/>
        </w:rPr>
        <w:t xml:space="preserve">: </w:t>
      </w:r>
      <w:r w:rsidRPr="00AE2F9E">
        <w:rPr>
          <w:rFonts w:ascii="Times New Roman" w:hAnsi="Times New Roman" w:cs="Times New Roman"/>
          <w:sz w:val="24"/>
          <w:szCs w:val="24"/>
        </w:rPr>
        <w:t xml:space="preserve">La correlación entre las estrategias de trabajo autónomo y los tipos metas académicas de los estudiantes de la muestra resultó mayoritariamente </w:t>
      </w:r>
      <w:r w:rsidRPr="00AE2F9E">
        <w:rPr>
          <w:rFonts w:ascii="Times New Roman" w:hAnsi="Times New Roman" w:cs="Times New Roman"/>
          <w:i/>
          <w:sz w:val="24"/>
          <w:szCs w:val="24"/>
        </w:rPr>
        <w:t>escasa o nula y directa</w:t>
      </w:r>
      <w:r w:rsidRPr="00AE2F9E">
        <w:rPr>
          <w:rFonts w:ascii="Times New Roman" w:hAnsi="Times New Roman" w:cs="Times New Roman"/>
          <w:sz w:val="24"/>
          <w:szCs w:val="24"/>
        </w:rPr>
        <w:t>.</w:t>
      </w:r>
    </w:p>
    <w:p w14:paraId="070B1AA8" w14:textId="77777777" w:rsidR="00457A8F" w:rsidRDefault="00457A8F" w:rsidP="00457A8F">
      <w:pPr>
        <w:rPr>
          <w:rFonts w:ascii="Times New Roman" w:hAnsi="Times New Roman" w:cs="Times New Roman"/>
          <w:sz w:val="24"/>
          <w:szCs w:val="24"/>
          <w:lang w:val="es-419"/>
        </w:rPr>
      </w:pPr>
      <w:r w:rsidRPr="00792083">
        <w:rPr>
          <w:rFonts w:ascii="Times New Roman" w:hAnsi="Times New Roman" w:cs="Times New Roman"/>
          <w:b/>
          <w:sz w:val="24"/>
          <w:szCs w:val="24"/>
          <w:lang w:val="es-419"/>
        </w:rPr>
        <w:t>Palabras clave</w:t>
      </w:r>
      <w:r w:rsidRPr="00AE2F9E">
        <w:rPr>
          <w:rFonts w:ascii="Times New Roman" w:hAnsi="Times New Roman" w:cs="Times New Roman"/>
          <w:sz w:val="24"/>
          <w:szCs w:val="24"/>
          <w:lang w:val="es-419"/>
        </w:rPr>
        <w:t>: metas, motivación, estrategia, aprendizaje.</w:t>
      </w:r>
      <w:bookmarkEnd w:id="0"/>
      <w:bookmarkEnd w:id="1"/>
    </w:p>
    <w:p w14:paraId="500A6550" w14:textId="77777777" w:rsidR="00457A8F" w:rsidRPr="00792083" w:rsidRDefault="00457A8F" w:rsidP="00457A8F">
      <w:pPr>
        <w:rPr>
          <w:rFonts w:ascii="Times New Roman" w:hAnsi="Times New Roman" w:cs="Times New Roman"/>
          <w:b/>
          <w:sz w:val="24"/>
          <w:szCs w:val="24"/>
          <w:lang w:val="en"/>
        </w:rPr>
      </w:pPr>
      <w:r w:rsidRPr="00792083">
        <w:rPr>
          <w:rFonts w:ascii="Times New Roman" w:hAnsi="Times New Roman" w:cs="Times New Roman"/>
          <w:b/>
          <w:sz w:val="24"/>
          <w:szCs w:val="24"/>
          <w:lang w:val="en"/>
        </w:rPr>
        <w:t>ABSTRACT</w:t>
      </w:r>
    </w:p>
    <w:p w14:paraId="39DD9670" w14:textId="77777777" w:rsidR="00457A8F" w:rsidRPr="00792083" w:rsidRDefault="00457A8F" w:rsidP="00457A8F">
      <w:pPr>
        <w:rPr>
          <w:rFonts w:ascii="Times New Roman" w:hAnsi="Times New Roman" w:cs="Times New Roman"/>
          <w:sz w:val="24"/>
          <w:szCs w:val="24"/>
          <w:lang w:val="en"/>
        </w:rPr>
      </w:pPr>
      <w:r w:rsidRPr="00792083">
        <w:rPr>
          <w:rFonts w:ascii="Times New Roman" w:hAnsi="Times New Roman" w:cs="Times New Roman"/>
          <w:b/>
          <w:sz w:val="24"/>
          <w:szCs w:val="24"/>
          <w:lang w:val="en"/>
        </w:rPr>
        <w:t>Objective</w:t>
      </w:r>
      <w:r w:rsidRPr="00792083">
        <w:rPr>
          <w:rFonts w:ascii="Times New Roman" w:hAnsi="Times New Roman" w:cs="Times New Roman"/>
          <w:sz w:val="24"/>
          <w:szCs w:val="24"/>
          <w:lang w:val="en"/>
        </w:rPr>
        <w:t xml:space="preserve">: to determine the correlation between academic goals and learning strategies in students registered from first to sixth semester, during the academic period October 2016 - February 2017, in the Faculty of Health Sciences, of the National University of Chimborazo. </w:t>
      </w:r>
      <w:r w:rsidRPr="00792083">
        <w:rPr>
          <w:rFonts w:ascii="Times New Roman" w:hAnsi="Times New Roman" w:cs="Times New Roman"/>
          <w:b/>
          <w:sz w:val="24"/>
          <w:szCs w:val="24"/>
          <w:lang w:val="en"/>
        </w:rPr>
        <w:t>Method</w:t>
      </w:r>
      <w:r w:rsidRPr="00792083">
        <w:rPr>
          <w:rFonts w:ascii="Times New Roman" w:hAnsi="Times New Roman" w:cs="Times New Roman"/>
          <w:sz w:val="24"/>
          <w:szCs w:val="24"/>
          <w:lang w:val="en"/>
        </w:rPr>
        <w:t xml:space="preserve">: </w:t>
      </w:r>
      <w:r w:rsidRPr="00792083">
        <w:rPr>
          <w:rFonts w:ascii="Times New Roman" w:hAnsi="Times New Roman" w:cs="Times New Roman"/>
          <w:sz w:val="24"/>
          <w:szCs w:val="24"/>
          <w:lang w:val="en"/>
        </w:rPr>
        <w:lastRenderedPageBreak/>
        <w:t xml:space="preserve">correlational observational study, in which the questionnaires for assessing academic achievements (QAAA) and autonomous work strategies (AWS) were applied, whose resulting data were analyzed and interpreted using statistical methods of descriptive level (relative and absolute frequencies, means, medians and modes) and nonparametric inferential (Pearson's Correlation Test). </w:t>
      </w:r>
      <w:r w:rsidRPr="00792083">
        <w:rPr>
          <w:rFonts w:ascii="Times New Roman" w:hAnsi="Times New Roman" w:cs="Times New Roman"/>
          <w:b/>
          <w:sz w:val="24"/>
          <w:szCs w:val="24"/>
          <w:lang w:val="en"/>
        </w:rPr>
        <w:t>Results</w:t>
      </w:r>
      <w:r w:rsidRPr="00792083">
        <w:rPr>
          <w:rFonts w:ascii="Times New Roman" w:hAnsi="Times New Roman" w:cs="Times New Roman"/>
          <w:sz w:val="24"/>
          <w:szCs w:val="24"/>
          <w:lang w:val="en"/>
        </w:rPr>
        <w:t xml:space="preserve">: the types of academic goals and the strategies of autonomous learning had a homogeneous behavior in almost all the majors of the academic offer studied. The category sometimes predominated in most of the dimensions researched. </w:t>
      </w:r>
      <w:r w:rsidRPr="00792083">
        <w:rPr>
          <w:rFonts w:ascii="Times New Roman" w:hAnsi="Times New Roman" w:cs="Times New Roman"/>
          <w:b/>
          <w:sz w:val="24"/>
          <w:szCs w:val="24"/>
          <w:lang w:val="en"/>
        </w:rPr>
        <w:t>Conclusion</w:t>
      </w:r>
      <w:r w:rsidRPr="00792083">
        <w:rPr>
          <w:rFonts w:ascii="Times New Roman" w:hAnsi="Times New Roman" w:cs="Times New Roman"/>
          <w:sz w:val="24"/>
          <w:szCs w:val="24"/>
          <w:lang w:val="en"/>
        </w:rPr>
        <w:t>: The correlation between the strategies of autonomous work and the types of academic achievements of the students of the sample was mostly scarce or null and direct.</w:t>
      </w:r>
    </w:p>
    <w:p w14:paraId="04E12181" w14:textId="77777777" w:rsidR="00457A8F" w:rsidRPr="00792083" w:rsidRDefault="00457A8F" w:rsidP="00457A8F">
      <w:pPr>
        <w:rPr>
          <w:rFonts w:ascii="Times New Roman" w:hAnsi="Times New Roman" w:cs="Times New Roman"/>
          <w:sz w:val="24"/>
          <w:szCs w:val="24"/>
          <w:lang w:val="en-US"/>
        </w:rPr>
      </w:pPr>
      <w:r w:rsidRPr="00792083">
        <w:rPr>
          <w:rFonts w:ascii="Times New Roman" w:hAnsi="Times New Roman" w:cs="Times New Roman"/>
          <w:b/>
          <w:sz w:val="24"/>
          <w:szCs w:val="24"/>
          <w:lang w:val="en"/>
        </w:rPr>
        <w:t>Keywords</w:t>
      </w:r>
      <w:r w:rsidRPr="00792083">
        <w:rPr>
          <w:rFonts w:ascii="Times New Roman" w:hAnsi="Times New Roman" w:cs="Times New Roman"/>
          <w:sz w:val="24"/>
          <w:szCs w:val="24"/>
          <w:lang w:val="en"/>
        </w:rPr>
        <w:t>: achievements, motivation, strategy, learning</w:t>
      </w:r>
    </w:p>
    <w:p w14:paraId="5B067390" w14:textId="37CA3A64" w:rsidR="00457A8F" w:rsidRPr="00457A8F" w:rsidRDefault="00457A8F" w:rsidP="000A23F5">
      <w:pPr>
        <w:autoSpaceDE w:val="0"/>
        <w:autoSpaceDN w:val="0"/>
        <w:adjustRightInd w:val="0"/>
        <w:rPr>
          <w:rFonts w:ascii="Times New Roman" w:hAnsi="Times New Roman" w:cs="Times New Roman"/>
          <w:b/>
          <w:sz w:val="24"/>
          <w:szCs w:val="24"/>
          <w:lang w:val="en-US"/>
        </w:rPr>
      </w:pPr>
      <w:r w:rsidRPr="00457A8F">
        <w:rPr>
          <w:rFonts w:ascii="Times New Roman" w:hAnsi="Times New Roman" w:cs="Times New Roman"/>
          <w:b/>
          <w:sz w:val="24"/>
          <w:szCs w:val="24"/>
          <w:lang w:val="en-US"/>
        </w:rPr>
        <w:t>INTRODUCTION</w:t>
      </w:r>
    </w:p>
    <w:p w14:paraId="74C85AEE" w14:textId="76796C32" w:rsidR="00457A8F" w:rsidRDefault="00457A8F" w:rsidP="000A23F5">
      <w:pPr>
        <w:autoSpaceDE w:val="0"/>
        <w:autoSpaceDN w:val="0"/>
        <w:adjustRightInd w:val="0"/>
        <w:rPr>
          <w:rFonts w:ascii="Times New Roman" w:hAnsi="Times New Roman" w:cs="Times New Roman"/>
          <w:sz w:val="24"/>
          <w:szCs w:val="24"/>
          <w:lang w:val="en-US"/>
        </w:rPr>
      </w:pPr>
      <w:r w:rsidRPr="00457A8F">
        <w:rPr>
          <w:rFonts w:ascii="Times New Roman" w:hAnsi="Times New Roman" w:cs="Times New Roman"/>
          <w:sz w:val="24"/>
          <w:szCs w:val="24"/>
          <w:lang w:val="en-US"/>
        </w:rPr>
        <w:t>Human beings are under the influence of a set of processes that leads them to identify and establish certain purposes. Motivation helps improve the perspective of success in various learning activities, which are essential for them to adapt to their environment and modify it if necessary (</w:t>
      </w:r>
      <w:proofErr w:type="spellStart"/>
      <w:r w:rsidRPr="00457A8F">
        <w:rPr>
          <w:rFonts w:ascii="Times New Roman" w:hAnsi="Times New Roman" w:cs="Times New Roman"/>
          <w:sz w:val="24"/>
          <w:szCs w:val="24"/>
          <w:lang w:val="en-US"/>
        </w:rPr>
        <w:t>Boza-Carreño</w:t>
      </w:r>
      <w:proofErr w:type="spellEnd"/>
      <w:r w:rsidRPr="00457A8F">
        <w:rPr>
          <w:rFonts w:ascii="Times New Roman" w:hAnsi="Times New Roman" w:cs="Times New Roman"/>
          <w:sz w:val="24"/>
          <w:szCs w:val="24"/>
          <w:lang w:val="en-US"/>
        </w:rPr>
        <w:t xml:space="preserve"> and Méndez-Garrido, 2013, Valle et al., 2015a).</w:t>
      </w:r>
    </w:p>
    <w:p w14:paraId="2B38B067" w14:textId="67B698CC" w:rsidR="00457A8F" w:rsidRDefault="00457A8F" w:rsidP="000A23F5">
      <w:pPr>
        <w:autoSpaceDE w:val="0"/>
        <w:autoSpaceDN w:val="0"/>
        <w:adjustRightInd w:val="0"/>
        <w:rPr>
          <w:rFonts w:ascii="Times New Roman" w:hAnsi="Times New Roman" w:cs="Times New Roman"/>
          <w:sz w:val="24"/>
          <w:szCs w:val="24"/>
          <w:lang w:val="en-US"/>
        </w:rPr>
      </w:pPr>
      <w:r w:rsidRPr="00457A8F">
        <w:rPr>
          <w:rFonts w:ascii="Times New Roman" w:hAnsi="Times New Roman" w:cs="Times New Roman"/>
          <w:sz w:val="24"/>
          <w:szCs w:val="24"/>
          <w:lang w:val="en-US"/>
        </w:rPr>
        <w:t>The study of the different types of achievement goals constitutes an incursion in the field of motivation.</w:t>
      </w:r>
      <w:r>
        <w:rPr>
          <w:rFonts w:ascii="Times New Roman" w:hAnsi="Times New Roman" w:cs="Times New Roman"/>
          <w:sz w:val="24"/>
          <w:szCs w:val="24"/>
          <w:lang w:val="en-US"/>
        </w:rPr>
        <w:t xml:space="preserve"> </w:t>
      </w:r>
      <w:r w:rsidRPr="00457A8F">
        <w:rPr>
          <w:rFonts w:ascii="Times New Roman" w:hAnsi="Times New Roman" w:cs="Times New Roman"/>
          <w:sz w:val="24"/>
          <w:szCs w:val="24"/>
          <w:lang w:val="en-US"/>
        </w:rPr>
        <w:t>The focus on these are for general purposes that offer differentiated significance for success (</w:t>
      </w:r>
      <w:proofErr w:type="spellStart"/>
      <w:r w:rsidRPr="00457A8F">
        <w:rPr>
          <w:rFonts w:ascii="Times New Roman" w:hAnsi="Times New Roman" w:cs="Times New Roman"/>
          <w:sz w:val="24"/>
          <w:szCs w:val="24"/>
          <w:lang w:val="en-US"/>
        </w:rPr>
        <w:t>Cáceres</w:t>
      </w:r>
      <w:proofErr w:type="spellEnd"/>
      <w:r w:rsidRPr="00457A8F">
        <w:rPr>
          <w:rFonts w:ascii="Times New Roman" w:hAnsi="Times New Roman" w:cs="Times New Roman"/>
          <w:sz w:val="24"/>
          <w:szCs w:val="24"/>
          <w:lang w:val="en-US"/>
        </w:rPr>
        <w:t xml:space="preserve">-Alvarado and Nieto-Gutiérrez, 2013). The behavior of young people is intentional when it is </w:t>
      </w:r>
      <w:r w:rsidR="00BD171E">
        <w:rPr>
          <w:rFonts w:ascii="Times New Roman" w:hAnsi="Times New Roman" w:cs="Times New Roman"/>
          <w:sz w:val="24"/>
          <w:szCs w:val="24"/>
          <w:lang w:val="en-US"/>
        </w:rPr>
        <w:t>aimed</w:t>
      </w:r>
      <w:r w:rsidRPr="00457A8F">
        <w:rPr>
          <w:rFonts w:ascii="Times New Roman" w:hAnsi="Times New Roman" w:cs="Times New Roman"/>
          <w:sz w:val="24"/>
          <w:szCs w:val="24"/>
          <w:lang w:val="en-US"/>
        </w:rPr>
        <w:t xml:space="preserve"> towards the</w:t>
      </w:r>
      <w:r w:rsidRPr="00BD171E">
        <w:rPr>
          <w:rFonts w:ascii="Times New Roman" w:hAnsi="Times New Roman" w:cs="Times New Roman"/>
          <w:color w:val="FF0000"/>
          <w:sz w:val="24"/>
          <w:szCs w:val="24"/>
          <w:lang w:val="en-US"/>
        </w:rPr>
        <w:t xml:space="preserve"> </w:t>
      </w:r>
      <w:r w:rsidR="00BD171E" w:rsidRPr="00BD171E">
        <w:rPr>
          <w:rFonts w:ascii="Times New Roman" w:hAnsi="Times New Roman" w:cs="Times New Roman"/>
          <w:color w:val="FF0000"/>
          <w:sz w:val="24"/>
          <w:szCs w:val="24"/>
          <w:lang w:val="en-US"/>
        </w:rPr>
        <w:t xml:space="preserve">outcome </w:t>
      </w:r>
      <w:r w:rsidRPr="00457A8F">
        <w:rPr>
          <w:rFonts w:ascii="Times New Roman" w:hAnsi="Times New Roman" w:cs="Times New Roman"/>
          <w:sz w:val="24"/>
          <w:szCs w:val="24"/>
          <w:lang w:val="en-US"/>
        </w:rPr>
        <w:t xml:space="preserve">of firmly defined purposes, which directly affect the fulfillment of the tasks of personal development, according to the perspectives of well-being at </w:t>
      </w:r>
      <w:r w:rsidR="00BD171E">
        <w:rPr>
          <w:rFonts w:ascii="Times New Roman" w:hAnsi="Times New Roman" w:cs="Times New Roman"/>
          <w:sz w:val="24"/>
          <w:szCs w:val="24"/>
          <w:lang w:val="en-US"/>
        </w:rPr>
        <w:t xml:space="preserve">the </w:t>
      </w:r>
      <w:r w:rsidRPr="00457A8F">
        <w:rPr>
          <w:rFonts w:ascii="Times New Roman" w:hAnsi="Times New Roman" w:cs="Times New Roman"/>
          <w:sz w:val="24"/>
          <w:szCs w:val="24"/>
          <w:lang w:val="en-US"/>
        </w:rPr>
        <w:t>objective and subjective levels (López-Mora et al., 2017).</w:t>
      </w:r>
    </w:p>
    <w:p w14:paraId="4D14B727" w14:textId="564B8793" w:rsidR="00457A8F" w:rsidRDefault="00457A8F" w:rsidP="000A23F5">
      <w:pPr>
        <w:autoSpaceDE w:val="0"/>
        <w:autoSpaceDN w:val="0"/>
        <w:adjustRightInd w:val="0"/>
        <w:rPr>
          <w:rFonts w:ascii="Times New Roman" w:hAnsi="Times New Roman" w:cs="Times New Roman"/>
          <w:sz w:val="24"/>
          <w:szCs w:val="24"/>
          <w:lang w:val="en-US"/>
        </w:rPr>
      </w:pPr>
      <w:r w:rsidRPr="00457A8F">
        <w:rPr>
          <w:rFonts w:ascii="Times New Roman" w:hAnsi="Times New Roman" w:cs="Times New Roman"/>
          <w:sz w:val="24"/>
          <w:szCs w:val="24"/>
          <w:lang w:val="en-US"/>
        </w:rPr>
        <w:t>Different authors agree in establishing two types of motivation: the extrinsic, which requires external incentives for the task being performed</w:t>
      </w:r>
      <w:r w:rsidR="00BD171E">
        <w:rPr>
          <w:rFonts w:ascii="Times New Roman" w:hAnsi="Times New Roman" w:cs="Times New Roman"/>
          <w:sz w:val="24"/>
          <w:szCs w:val="24"/>
          <w:lang w:val="en-US"/>
        </w:rPr>
        <w:t xml:space="preserve"> and </w:t>
      </w:r>
      <w:r w:rsidRPr="00457A8F">
        <w:rPr>
          <w:rFonts w:ascii="Times New Roman" w:hAnsi="Times New Roman" w:cs="Times New Roman"/>
          <w:sz w:val="24"/>
          <w:szCs w:val="24"/>
          <w:lang w:val="en-US"/>
        </w:rPr>
        <w:t>becoming the means to achieve an end. While on the other hand, the intrinsic depends on stimuli inherent in the activity itself, being interesting and not requiring any reinforcement. However, both can be linked at the same time and context (Valle et al., 2015, León et al., 2013, Domínguez-Alonso and Pino-</w:t>
      </w:r>
      <w:proofErr w:type="spellStart"/>
      <w:r w:rsidRPr="00457A8F">
        <w:rPr>
          <w:rFonts w:ascii="Times New Roman" w:hAnsi="Times New Roman" w:cs="Times New Roman"/>
          <w:sz w:val="24"/>
          <w:szCs w:val="24"/>
          <w:lang w:val="en-US"/>
        </w:rPr>
        <w:t>Juste</w:t>
      </w:r>
      <w:proofErr w:type="spellEnd"/>
      <w:r w:rsidRPr="00457A8F">
        <w:rPr>
          <w:rFonts w:ascii="Times New Roman" w:hAnsi="Times New Roman" w:cs="Times New Roman"/>
          <w:sz w:val="24"/>
          <w:szCs w:val="24"/>
          <w:lang w:val="en-US"/>
        </w:rPr>
        <w:t>, 2016).</w:t>
      </w:r>
    </w:p>
    <w:p w14:paraId="0A5BBCEA" w14:textId="51740E90" w:rsidR="000650B2" w:rsidRPr="000A23F5" w:rsidRDefault="000650B2" w:rsidP="000A23F5">
      <w:pPr>
        <w:autoSpaceDE w:val="0"/>
        <w:autoSpaceDN w:val="0"/>
        <w:adjustRightInd w:val="0"/>
        <w:rPr>
          <w:rFonts w:ascii="Times New Roman" w:hAnsi="Times New Roman" w:cs="Times New Roman"/>
          <w:sz w:val="24"/>
          <w:szCs w:val="24"/>
          <w:lang w:val="en-US"/>
        </w:rPr>
      </w:pPr>
      <w:r w:rsidRPr="000650B2">
        <w:rPr>
          <w:rFonts w:ascii="Times New Roman" w:hAnsi="Times New Roman" w:cs="Times New Roman"/>
          <w:sz w:val="24"/>
          <w:szCs w:val="24"/>
          <w:lang w:val="en-US"/>
        </w:rPr>
        <w:t>People learn more efficiently when they do it consciously. They have a natural curiosity to know the phenomena that underlie and explain life. However, the motivation of individuals for this activity is not manifested with the same intensity in formal contexts of institutionalized education. Although various research links it directly with school performance, in addition to encouraging new goals and academic challenges (</w:t>
      </w:r>
      <w:proofErr w:type="spellStart"/>
      <w:r w:rsidRPr="000650B2">
        <w:rPr>
          <w:rFonts w:ascii="Times New Roman" w:hAnsi="Times New Roman" w:cs="Times New Roman"/>
          <w:sz w:val="24"/>
          <w:szCs w:val="24"/>
          <w:lang w:val="en-US"/>
        </w:rPr>
        <w:t>Boza-Carreño</w:t>
      </w:r>
      <w:proofErr w:type="spellEnd"/>
      <w:r w:rsidRPr="000650B2">
        <w:rPr>
          <w:rFonts w:ascii="Times New Roman" w:hAnsi="Times New Roman" w:cs="Times New Roman"/>
          <w:sz w:val="24"/>
          <w:szCs w:val="24"/>
          <w:lang w:val="en-US"/>
        </w:rPr>
        <w:t xml:space="preserve"> and Méndez-Garrido, 2013).</w:t>
      </w:r>
    </w:p>
    <w:p w14:paraId="75DE64F1" w14:textId="1C50531F" w:rsidR="00FC65A9" w:rsidRPr="00BD171E" w:rsidRDefault="000650B2" w:rsidP="000650B2">
      <w:pPr>
        <w:rPr>
          <w:rFonts w:ascii="Times New Roman" w:hAnsi="Times New Roman" w:cs="Times New Roman"/>
          <w:color w:val="FF0000"/>
          <w:sz w:val="24"/>
          <w:szCs w:val="24"/>
          <w:lang w:val="en-US"/>
        </w:rPr>
      </w:pPr>
      <w:r w:rsidRPr="000650B2">
        <w:rPr>
          <w:rFonts w:ascii="Times New Roman" w:hAnsi="Times New Roman" w:cs="Times New Roman"/>
          <w:sz w:val="24"/>
          <w:szCs w:val="24"/>
          <w:lang w:val="en-US"/>
        </w:rPr>
        <w:lastRenderedPageBreak/>
        <w:t xml:space="preserve">In this regard, some researchers such as Fernández et al. (2013, p.865) and </w:t>
      </w:r>
      <w:proofErr w:type="spellStart"/>
      <w:r w:rsidRPr="000650B2">
        <w:rPr>
          <w:rFonts w:ascii="Times New Roman" w:hAnsi="Times New Roman" w:cs="Times New Roman"/>
          <w:sz w:val="24"/>
          <w:szCs w:val="24"/>
          <w:lang w:val="en-US"/>
        </w:rPr>
        <w:t>Núñez</w:t>
      </w:r>
      <w:proofErr w:type="spellEnd"/>
      <w:r w:rsidRPr="000650B2">
        <w:rPr>
          <w:rFonts w:ascii="Times New Roman" w:hAnsi="Times New Roman" w:cs="Times New Roman"/>
          <w:sz w:val="24"/>
          <w:szCs w:val="24"/>
          <w:lang w:val="en-US"/>
        </w:rPr>
        <w:t xml:space="preserve"> et al. (2015, p.9) report that the academic success of students in higher education depends largely on the extent of the degree of motivation, which impels them to become involved and to commit themselves to reaching the goal of becoming professionals in some area of knowledge. </w:t>
      </w:r>
      <w:r w:rsidRPr="00BD171E">
        <w:rPr>
          <w:rFonts w:ascii="Times New Roman" w:hAnsi="Times New Roman" w:cs="Times New Roman"/>
          <w:color w:val="FF0000"/>
          <w:sz w:val="24"/>
          <w:szCs w:val="24"/>
          <w:lang w:val="en-US"/>
        </w:rPr>
        <w:t xml:space="preserve">What coincides with the criteria of the authors of the book Management of </w:t>
      </w:r>
      <w:r w:rsidR="00BD171E" w:rsidRPr="00BD171E">
        <w:rPr>
          <w:rFonts w:ascii="Times New Roman" w:hAnsi="Times New Roman" w:cs="Times New Roman"/>
          <w:color w:val="FF0000"/>
          <w:sz w:val="24"/>
          <w:szCs w:val="24"/>
          <w:lang w:val="en-US"/>
        </w:rPr>
        <w:t>H</w:t>
      </w:r>
      <w:r w:rsidRPr="00BD171E">
        <w:rPr>
          <w:rFonts w:ascii="Times New Roman" w:hAnsi="Times New Roman" w:cs="Times New Roman"/>
          <w:color w:val="FF0000"/>
          <w:sz w:val="24"/>
          <w:szCs w:val="24"/>
          <w:lang w:val="en-US"/>
        </w:rPr>
        <w:t xml:space="preserve">uman </w:t>
      </w:r>
      <w:r w:rsidR="00BD171E" w:rsidRPr="00BD171E">
        <w:rPr>
          <w:rFonts w:ascii="Times New Roman" w:hAnsi="Times New Roman" w:cs="Times New Roman"/>
          <w:color w:val="FF0000"/>
          <w:sz w:val="24"/>
          <w:szCs w:val="24"/>
          <w:lang w:val="en-US"/>
        </w:rPr>
        <w:t>T</w:t>
      </w:r>
      <w:r w:rsidRPr="00BD171E">
        <w:rPr>
          <w:rFonts w:ascii="Times New Roman" w:hAnsi="Times New Roman" w:cs="Times New Roman"/>
          <w:color w:val="FF0000"/>
          <w:sz w:val="24"/>
          <w:szCs w:val="24"/>
          <w:lang w:val="en-US"/>
        </w:rPr>
        <w:t>alent: approaches and models (</w:t>
      </w:r>
      <w:proofErr w:type="spellStart"/>
      <w:r w:rsidRPr="00BD171E">
        <w:rPr>
          <w:rFonts w:ascii="Times New Roman" w:hAnsi="Times New Roman" w:cs="Times New Roman"/>
          <w:color w:val="FF0000"/>
          <w:sz w:val="24"/>
          <w:szCs w:val="24"/>
          <w:lang w:val="en-US"/>
        </w:rPr>
        <w:t>Corporación</w:t>
      </w:r>
      <w:proofErr w:type="spellEnd"/>
      <w:r w:rsidRPr="00BD171E">
        <w:rPr>
          <w:rFonts w:ascii="Times New Roman" w:hAnsi="Times New Roman" w:cs="Times New Roman"/>
          <w:color w:val="FF0000"/>
          <w:sz w:val="24"/>
          <w:szCs w:val="24"/>
          <w:lang w:val="en-US"/>
        </w:rPr>
        <w:t xml:space="preserve"> CIMTED, 2016)</w:t>
      </w:r>
      <w:r w:rsidR="00BD171E" w:rsidRPr="00BD171E">
        <w:rPr>
          <w:rFonts w:ascii="Times New Roman" w:hAnsi="Times New Roman" w:cs="Times New Roman"/>
          <w:color w:val="FF0000"/>
          <w:sz w:val="24"/>
          <w:szCs w:val="24"/>
          <w:lang w:val="en-US"/>
        </w:rPr>
        <w:t xml:space="preserve"> </w:t>
      </w:r>
      <w:r w:rsidRPr="00BD171E">
        <w:rPr>
          <w:rFonts w:ascii="Times New Roman" w:hAnsi="Times New Roman" w:cs="Times New Roman"/>
          <w:color w:val="FF0000"/>
          <w:sz w:val="24"/>
          <w:szCs w:val="24"/>
          <w:lang w:val="en-US"/>
        </w:rPr>
        <w:t>for whom the academic achievements of future graduates constitute an important input to be considered during the design of contemporary university educational models.</w:t>
      </w:r>
    </w:p>
    <w:p w14:paraId="7C31A694" w14:textId="294E133D" w:rsidR="00416F44" w:rsidRDefault="00416F44" w:rsidP="000650B2">
      <w:pPr>
        <w:rPr>
          <w:rFonts w:ascii="Times New Roman" w:hAnsi="Times New Roman" w:cs="Times New Roman"/>
          <w:sz w:val="24"/>
          <w:szCs w:val="24"/>
          <w:lang w:val="en-US"/>
        </w:rPr>
      </w:pPr>
      <w:r w:rsidRPr="00416F44">
        <w:rPr>
          <w:rFonts w:ascii="Times New Roman" w:hAnsi="Times New Roman" w:cs="Times New Roman"/>
          <w:sz w:val="24"/>
          <w:szCs w:val="24"/>
          <w:lang w:val="en-US"/>
        </w:rPr>
        <w:t xml:space="preserve">Durán-Aponte and Arias-Gómez (2015, p.23) establish that during the last two decades of the 20th century, different investigations confirmed that there are two motivational factors or types of goals: those of "learning" and those "oriented to achievement". In turn, the latter is manifested through two trends that encourage the effort to study. One is focused on the pursuit of material </w:t>
      </w:r>
      <w:r w:rsidR="00BD171E">
        <w:rPr>
          <w:rFonts w:ascii="Times New Roman" w:hAnsi="Times New Roman" w:cs="Times New Roman"/>
          <w:sz w:val="24"/>
          <w:szCs w:val="24"/>
          <w:lang w:val="en-US"/>
        </w:rPr>
        <w:t>goals</w:t>
      </w:r>
      <w:r w:rsidRPr="00416F44">
        <w:rPr>
          <w:rFonts w:ascii="Times New Roman" w:hAnsi="Times New Roman" w:cs="Times New Roman"/>
          <w:sz w:val="24"/>
          <w:szCs w:val="24"/>
          <w:lang w:val="en-US"/>
        </w:rPr>
        <w:t xml:space="preserve"> (good grades, decent employment, rewards ...) and the other is in the scope of social recognition from peers, family members, teachers, etc.</w:t>
      </w:r>
    </w:p>
    <w:p w14:paraId="3419E5EB" w14:textId="070684AA" w:rsidR="00416F44" w:rsidRDefault="00416F44" w:rsidP="000650B2">
      <w:pPr>
        <w:rPr>
          <w:rFonts w:ascii="Times New Roman" w:hAnsi="Times New Roman" w:cs="Times New Roman"/>
          <w:sz w:val="24"/>
          <w:szCs w:val="24"/>
          <w:lang w:val="en-US"/>
        </w:rPr>
      </w:pPr>
      <w:r w:rsidRPr="00416F44">
        <w:rPr>
          <w:rFonts w:ascii="Times New Roman" w:hAnsi="Times New Roman" w:cs="Times New Roman"/>
          <w:sz w:val="24"/>
          <w:szCs w:val="24"/>
          <w:lang w:val="en-US"/>
        </w:rPr>
        <w:t xml:space="preserve">Another way of addressing the different types of achievements is given by Calderón and </w:t>
      </w:r>
      <w:proofErr w:type="spellStart"/>
      <w:r w:rsidRPr="00416F44">
        <w:rPr>
          <w:rFonts w:ascii="Times New Roman" w:hAnsi="Times New Roman" w:cs="Times New Roman"/>
          <w:sz w:val="24"/>
          <w:szCs w:val="24"/>
          <w:lang w:val="en-US"/>
        </w:rPr>
        <w:t>Casu</w:t>
      </w:r>
      <w:proofErr w:type="spellEnd"/>
      <w:r w:rsidRPr="00416F44">
        <w:rPr>
          <w:rFonts w:ascii="Times New Roman" w:hAnsi="Times New Roman" w:cs="Times New Roman"/>
          <w:sz w:val="24"/>
          <w:szCs w:val="24"/>
          <w:lang w:val="en-US"/>
        </w:rPr>
        <w:t xml:space="preserve"> (2011, p.285), who refer to two possible ways</w:t>
      </w:r>
      <w:r w:rsidR="00BD171E">
        <w:rPr>
          <w:rFonts w:ascii="Times New Roman" w:hAnsi="Times New Roman" w:cs="Times New Roman"/>
          <w:sz w:val="24"/>
          <w:szCs w:val="24"/>
          <w:lang w:val="en-US"/>
        </w:rPr>
        <w:t xml:space="preserve"> to </w:t>
      </w:r>
      <w:r w:rsidRPr="00416F44">
        <w:rPr>
          <w:rFonts w:ascii="Times New Roman" w:hAnsi="Times New Roman" w:cs="Times New Roman"/>
          <w:sz w:val="24"/>
          <w:szCs w:val="24"/>
          <w:lang w:val="en-US"/>
        </w:rPr>
        <w:t>manifest:</w:t>
      </w:r>
    </w:p>
    <w:p w14:paraId="07A12A01" w14:textId="201C286E" w:rsidR="00416F44" w:rsidRDefault="005C4203" w:rsidP="000650B2">
      <w:pPr>
        <w:rPr>
          <w:rFonts w:ascii="Times New Roman" w:hAnsi="Times New Roman" w:cs="Times New Roman"/>
          <w:sz w:val="24"/>
          <w:szCs w:val="24"/>
          <w:lang w:val="en-US"/>
        </w:rPr>
      </w:pPr>
      <w:r w:rsidRPr="005C4203">
        <w:rPr>
          <w:rFonts w:ascii="Times New Roman" w:hAnsi="Times New Roman" w:cs="Times New Roman"/>
          <w:sz w:val="24"/>
          <w:szCs w:val="24"/>
          <w:lang w:val="en-US"/>
        </w:rPr>
        <w:t>• The first one is oriented to the "domain" and it is characterized by the pursuit of learning, personal improvement and self-improvement through task mastery and the development of competences.</w:t>
      </w:r>
    </w:p>
    <w:p w14:paraId="112A5385" w14:textId="7FEA33C9" w:rsidR="005C4203" w:rsidRDefault="005C4203" w:rsidP="000650B2">
      <w:pPr>
        <w:rPr>
          <w:rFonts w:ascii="Times New Roman" w:hAnsi="Times New Roman" w:cs="Times New Roman"/>
          <w:sz w:val="24"/>
          <w:szCs w:val="24"/>
          <w:lang w:val="en-US"/>
        </w:rPr>
      </w:pPr>
      <w:r w:rsidRPr="005C4203">
        <w:rPr>
          <w:rFonts w:ascii="Times New Roman" w:hAnsi="Times New Roman" w:cs="Times New Roman"/>
          <w:sz w:val="24"/>
          <w:szCs w:val="24"/>
          <w:lang w:val="en-US"/>
        </w:rPr>
        <w:t>• The second has a more extrinsic character that is oriented towards "performance". This is distinguished by the need to demonstrate skills and personal abilities to obtain the approval of third parties and obtain secondary benefits.</w:t>
      </w:r>
    </w:p>
    <w:p w14:paraId="56D190B8" w14:textId="18DEBAA9" w:rsidR="005C4203" w:rsidRDefault="005C4203" w:rsidP="000650B2">
      <w:pPr>
        <w:rPr>
          <w:rFonts w:ascii="Times New Roman" w:hAnsi="Times New Roman" w:cs="Times New Roman"/>
          <w:sz w:val="24"/>
          <w:szCs w:val="24"/>
          <w:lang w:val="en-US"/>
        </w:rPr>
      </w:pPr>
      <w:r w:rsidRPr="005C4203">
        <w:rPr>
          <w:rFonts w:ascii="Times New Roman" w:hAnsi="Times New Roman" w:cs="Times New Roman"/>
          <w:sz w:val="24"/>
          <w:szCs w:val="24"/>
          <w:lang w:val="en-US"/>
        </w:rPr>
        <w:t>In relation to the importance of the investigation about the objective of the study in question, López-Mora et al. (2017, p.445) referen</w:t>
      </w:r>
      <w:r w:rsidR="00BD171E">
        <w:rPr>
          <w:rFonts w:ascii="Times New Roman" w:hAnsi="Times New Roman" w:cs="Times New Roman"/>
          <w:sz w:val="24"/>
          <w:szCs w:val="24"/>
          <w:lang w:val="en-US"/>
        </w:rPr>
        <w:t>ces</w:t>
      </w:r>
      <w:r w:rsidRPr="005C4203">
        <w:rPr>
          <w:rFonts w:ascii="Times New Roman" w:hAnsi="Times New Roman" w:cs="Times New Roman"/>
          <w:sz w:val="24"/>
          <w:szCs w:val="24"/>
          <w:lang w:val="en-US"/>
        </w:rPr>
        <w:t xml:space="preserve"> the results obtained by other researchers to conclude that a better understanding of the acts and behaviors of the students is needed</w:t>
      </w:r>
      <w:r w:rsidR="00BD171E">
        <w:rPr>
          <w:rFonts w:ascii="Times New Roman" w:hAnsi="Times New Roman" w:cs="Times New Roman"/>
          <w:sz w:val="24"/>
          <w:szCs w:val="24"/>
          <w:lang w:val="en-US"/>
        </w:rPr>
        <w:t xml:space="preserve"> </w:t>
      </w:r>
      <w:r w:rsidRPr="005C4203">
        <w:rPr>
          <w:rFonts w:ascii="Times New Roman" w:hAnsi="Times New Roman" w:cs="Times New Roman"/>
          <w:sz w:val="24"/>
          <w:szCs w:val="24"/>
          <w:lang w:val="en-US"/>
        </w:rPr>
        <w:t>through the early identification of their aspirations and goals.</w:t>
      </w:r>
    </w:p>
    <w:p w14:paraId="33F29956" w14:textId="72D3D696" w:rsidR="005C4203" w:rsidRDefault="005C4203" w:rsidP="000650B2">
      <w:pPr>
        <w:rPr>
          <w:rFonts w:ascii="Times New Roman" w:hAnsi="Times New Roman" w:cs="Times New Roman"/>
          <w:sz w:val="24"/>
          <w:szCs w:val="24"/>
          <w:lang w:val="en-US"/>
        </w:rPr>
      </w:pPr>
      <w:r w:rsidRPr="005C4203">
        <w:rPr>
          <w:rFonts w:ascii="Times New Roman" w:hAnsi="Times New Roman" w:cs="Times New Roman"/>
          <w:sz w:val="24"/>
          <w:szCs w:val="24"/>
          <w:lang w:val="en-US"/>
        </w:rPr>
        <w:t xml:space="preserve">According to </w:t>
      </w:r>
      <w:proofErr w:type="spellStart"/>
      <w:r w:rsidRPr="005C4203">
        <w:rPr>
          <w:rFonts w:ascii="Times New Roman" w:hAnsi="Times New Roman" w:cs="Times New Roman"/>
          <w:sz w:val="24"/>
          <w:szCs w:val="24"/>
          <w:lang w:val="en-US"/>
        </w:rPr>
        <w:t>Gámez</w:t>
      </w:r>
      <w:proofErr w:type="spellEnd"/>
      <w:r w:rsidRPr="005C4203">
        <w:rPr>
          <w:rFonts w:ascii="Times New Roman" w:hAnsi="Times New Roman" w:cs="Times New Roman"/>
          <w:sz w:val="24"/>
          <w:szCs w:val="24"/>
          <w:lang w:val="en-US"/>
        </w:rPr>
        <w:t xml:space="preserve"> et al. (2015, page 589) the goals do not necessarily generate a behavior, but almost always the behaviors are directed to reach a goal. In relation to those aimed at academic performance Valencia-Serrano et al. (2013, p.53) establish that students who use self-learning strategies focused on planning, elaboration, organization, supervision and metacognitive control can more easily achieve the aims of</w:t>
      </w:r>
      <w:r w:rsidR="00BD171E">
        <w:rPr>
          <w:rFonts w:ascii="Times New Roman" w:hAnsi="Times New Roman" w:cs="Times New Roman"/>
          <w:sz w:val="24"/>
          <w:szCs w:val="24"/>
          <w:lang w:val="en-US"/>
        </w:rPr>
        <w:t xml:space="preserve"> the</w:t>
      </w:r>
      <w:r w:rsidRPr="005C4203">
        <w:rPr>
          <w:rFonts w:ascii="Times New Roman" w:hAnsi="Times New Roman" w:cs="Times New Roman"/>
          <w:sz w:val="24"/>
          <w:szCs w:val="24"/>
          <w:lang w:val="en-US"/>
        </w:rPr>
        <w:t xml:space="preserve"> professional training processes.</w:t>
      </w:r>
    </w:p>
    <w:p w14:paraId="5CC2A6DB" w14:textId="4F5A9E07" w:rsidR="0012501D" w:rsidRDefault="0012501D" w:rsidP="000650B2">
      <w:pPr>
        <w:rPr>
          <w:rFonts w:ascii="Times New Roman" w:hAnsi="Times New Roman" w:cs="Times New Roman"/>
          <w:sz w:val="24"/>
          <w:szCs w:val="24"/>
          <w:lang w:val="en-US"/>
        </w:rPr>
      </w:pPr>
      <w:r w:rsidRPr="0012501D">
        <w:rPr>
          <w:rFonts w:ascii="Times New Roman" w:hAnsi="Times New Roman" w:cs="Times New Roman"/>
          <w:sz w:val="24"/>
          <w:szCs w:val="24"/>
          <w:lang w:val="en-US"/>
        </w:rPr>
        <w:lastRenderedPageBreak/>
        <w:t>The presence of metacognitive traits in individuals facilitates the development of the ability to direct and control their own training process. Students tend to learn better when they know what and how to learn with high levels of autonomy, because they can make conscious decisions in relation to their knowledge, thinking and acting (Paz, 2014). In this regard, Garrote-Rojas et al. (2016, p.31) explains that learning</w:t>
      </w:r>
      <w:r w:rsidR="00BD171E">
        <w:rPr>
          <w:rFonts w:ascii="Times New Roman" w:hAnsi="Times New Roman" w:cs="Times New Roman"/>
          <w:sz w:val="24"/>
          <w:szCs w:val="24"/>
          <w:lang w:val="en-US"/>
        </w:rPr>
        <w:t xml:space="preserve"> is</w:t>
      </w:r>
      <w:r w:rsidRPr="0012501D">
        <w:rPr>
          <w:rFonts w:ascii="Times New Roman" w:hAnsi="Times New Roman" w:cs="Times New Roman"/>
          <w:sz w:val="24"/>
          <w:szCs w:val="24"/>
          <w:lang w:val="en-US"/>
        </w:rPr>
        <w:t xml:space="preserve"> referred to as autonomous, self-directed, independent, etc., contributes significantly to the achievement of the academic success of the students.</w:t>
      </w:r>
    </w:p>
    <w:p w14:paraId="3AD5E142" w14:textId="69231462" w:rsidR="0012501D" w:rsidRDefault="0012501D" w:rsidP="000650B2">
      <w:pPr>
        <w:rPr>
          <w:rFonts w:ascii="Times New Roman" w:hAnsi="Times New Roman" w:cs="Times New Roman"/>
          <w:sz w:val="24"/>
          <w:szCs w:val="24"/>
          <w:lang w:val="en-US"/>
        </w:rPr>
      </w:pPr>
      <w:r w:rsidRPr="0012501D">
        <w:rPr>
          <w:rFonts w:ascii="Times New Roman" w:hAnsi="Times New Roman" w:cs="Times New Roman"/>
          <w:sz w:val="24"/>
          <w:szCs w:val="24"/>
          <w:lang w:val="en-US"/>
        </w:rPr>
        <w:t xml:space="preserve">Based on the </w:t>
      </w:r>
      <w:r>
        <w:rPr>
          <w:rFonts w:ascii="Times New Roman" w:hAnsi="Times New Roman" w:cs="Times New Roman"/>
          <w:sz w:val="24"/>
          <w:szCs w:val="24"/>
          <w:lang w:val="en-US"/>
        </w:rPr>
        <w:t>previously mentioned</w:t>
      </w:r>
      <w:r w:rsidRPr="0012501D">
        <w:rPr>
          <w:rFonts w:ascii="Times New Roman" w:hAnsi="Times New Roman" w:cs="Times New Roman"/>
          <w:sz w:val="24"/>
          <w:szCs w:val="24"/>
          <w:lang w:val="en-US"/>
        </w:rPr>
        <w:t xml:space="preserve"> arguments, in the Faculty of Health Sciences, in the National University of Chimborazo, research was carried out with the objective of determining the correlation between diverse academic goals and learning strategies in the students enrolled from first to sixth semester, during the academic period of October 2016 - February 2017.</w:t>
      </w:r>
    </w:p>
    <w:p w14:paraId="01D1E0B4" w14:textId="3ED5E498" w:rsidR="004A36F1" w:rsidRDefault="004A36F1" w:rsidP="000650B2">
      <w:pPr>
        <w:rPr>
          <w:rFonts w:ascii="Times New Roman" w:hAnsi="Times New Roman" w:cs="Times New Roman"/>
          <w:b/>
          <w:sz w:val="24"/>
          <w:szCs w:val="24"/>
          <w:lang w:val="en-US"/>
        </w:rPr>
      </w:pPr>
      <w:r w:rsidRPr="004A36F1">
        <w:rPr>
          <w:rFonts w:ascii="Times New Roman" w:hAnsi="Times New Roman" w:cs="Times New Roman"/>
          <w:b/>
          <w:sz w:val="24"/>
          <w:szCs w:val="24"/>
          <w:lang w:val="en-US"/>
        </w:rPr>
        <w:t>METHODS</w:t>
      </w:r>
    </w:p>
    <w:p w14:paraId="2EAF6E3E" w14:textId="47E191B3" w:rsidR="00FE2D86" w:rsidRDefault="00FE2D86" w:rsidP="000650B2">
      <w:pPr>
        <w:rPr>
          <w:rFonts w:ascii="Times New Roman" w:hAnsi="Times New Roman" w:cs="Times New Roman"/>
          <w:sz w:val="24"/>
          <w:szCs w:val="24"/>
          <w:lang w:val="en-US"/>
        </w:rPr>
      </w:pPr>
      <w:r w:rsidRPr="00FE2D86">
        <w:rPr>
          <w:rFonts w:ascii="Times New Roman" w:hAnsi="Times New Roman" w:cs="Times New Roman"/>
          <w:sz w:val="24"/>
          <w:szCs w:val="24"/>
          <w:lang w:val="en-US"/>
        </w:rPr>
        <w:t xml:space="preserve">To reach the proposed objective, the task force developed a </w:t>
      </w:r>
      <w:proofErr w:type="spellStart"/>
      <w:r w:rsidRPr="00FE2D86">
        <w:rPr>
          <w:rFonts w:ascii="Times New Roman" w:hAnsi="Times New Roman" w:cs="Times New Roman"/>
          <w:sz w:val="24"/>
          <w:szCs w:val="24"/>
          <w:lang w:val="en-US"/>
        </w:rPr>
        <w:t>quanti</w:t>
      </w:r>
      <w:proofErr w:type="spellEnd"/>
      <w:r w:rsidRPr="00FE2D86">
        <w:rPr>
          <w:rFonts w:ascii="Times New Roman" w:hAnsi="Times New Roman" w:cs="Times New Roman"/>
          <w:sz w:val="24"/>
          <w:szCs w:val="24"/>
          <w:lang w:val="en-US"/>
        </w:rPr>
        <w:t>-qualitative, correlational observational-type research, which worked with the entire student population of 1235. These students were enrolled in the first to sixth semester of the study. There were seven majors, in the Faculty of Health Sciences at the National University of Chimborazo, during the academic period of October 2016 - February 2017</w:t>
      </w:r>
      <w:r w:rsidR="00BD171E">
        <w:rPr>
          <w:rFonts w:ascii="Times New Roman" w:hAnsi="Times New Roman" w:cs="Times New Roman"/>
          <w:sz w:val="24"/>
          <w:szCs w:val="24"/>
          <w:lang w:val="en-US"/>
        </w:rPr>
        <w:t xml:space="preserve">. </w:t>
      </w:r>
      <w:r w:rsidR="006060D0">
        <w:rPr>
          <w:rFonts w:ascii="Times New Roman" w:hAnsi="Times New Roman" w:cs="Times New Roman"/>
          <w:sz w:val="24"/>
          <w:szCs w:val="24"/>
          <w:lang w:val="en-US"/>
        </w:rPr>
        <w:t>The participates</w:t>
      </w:r>
      <w:r w:rsidRPr="00FE2D86">
        <w:rPr>
          <w:rFonts w:ascii="Times New Roman" w:hAnsi="Times New Roman" w:cs="Times New Roman"/>
          <w:sz w:val="24"/>
          <w:szCs w:val="24"/>
          <w:lang w:val="en-US"/>
        </w:rPr>
        <w:t xml:space="preserve"> agreed to be surveyed and regularly attended teaching activities during the school term where the instruments were applied.  The participates were distributed </w:t>
      </w:r>
      <w:r w:rsidR="00686DB8">
        <w:rPr>
          <w:rFonts w:ascii="Times New Roman" w:hAnsi="Times New Roman" w:cs="Times New Roman"/>
          <w:sz w:val="24"/>
          <w:szCs w:val="24"/>
          <w:lang w:val="en-US"/>
        </w:rPr>
        <w:t>throughout the majors as</w:t>
      </w:r>
      <w:r w:rsidRPr="00FE2D86">
        <w:rPr>
          <w:rFonts w:ascii="Times New Roman" w:hAnsi="Times New Roman" w:cs="Times New Roman"/>
          <w:sz w:val="24"/>
          <w:szCs w:val="24"/>
          <w:lang w:val="en-US"/>
        </w:rPr>
        <w:t xml:space="preserve"> shown below.</w:t>
      </w:r>
    </w:p>
    <w:p w14:paraId="411F988F" w14:textId="4662CBAD" w:rsidR="00FE2D86" w:rsidRPr="00DD24FB" w:rsidRDefault="00FE2D86" w:rsidP="00FE2D86">
      <w:pPr>
        <w:pStyle w:val="ListParagraph"/>
        <w:numPr>
          <w:ilvl w:val="0"/>
          <w:numId w:val="2"/>
        </w:numPr>
        <w:spacing w:line="240" w:lineRule="auto"/>
        <w:ind w:left="357" w:right="57" w:hanging="357"/>
        <w:rPr>
          <w:rFonts w:ascii="Times New Roman" w:hAnsi="Times New Roman" w:cs="Times New Roman"/>
          <w:sz w:val="24"/>
          <w:szCs w:val="24"/>
          <w:lang w:val="en-US"/>
        </w:rPr>
      </w:pPr>
      <w:r w:rsidRPr="00DD24FB">
        <w:rPr>
          <w:rFonts w:ascii="Times New Roman" w:hAnsi="Times New Roman" w:cs="Times New Roman"/>
          <w:sz w:val="24"/>
          <w:szCs w:val="24"/>
          <w:lang w:val="en-US"/>
        </w:rPr>
        <w:t>Medicine</w:t>
      </w:r>
      <w:r w:rsidRPr="00DD24FB">
        <w:rPr>
          <w:rFonts w:ascii="Times New Roman" w:hAnsi="Times New Roman" w:cs="Times New Roman"/>
          <w:sz w:val="24"/>
          <w:szCs w:val="24"/>
          <w:lang w:val="en-US"/>
        </w:rPr>
        <w:tab/>
        <w:t>278</w:t>
      </w:r>
    </w:p>
    <w:p w14:paraId="742C70BA" w14:textId="7E607EAD" w:rsidR="00FE2D86" w:rsidRPr="00DD24FB" w:rsidRDefault="00DD24FB" w:rsidP="00FE2D86">
      <w:pPr>
        <w:pStyle w:val="ListParagraph"/>
        <w:numPr>
          <w:ilvl w:val="0"/>
          <w:numId w:val="2"/>
        </w:numPr>
        <w:spacing w:line="240" w:lineRule="auto"/>
        <w:ind w:left="357" w:right="57" w:hanging="357"/>
        <w:rPr>
          <w:rFonts w:ascii="Times New Roman" w:hAnsi="Times New Roman" w:cs="Times New Roman"/>
          <w:sz w:val="24"/>
          <w:szCs w:val="24"/>
          <w:lang w:val="en-US"/>
        </w:rPr>
      </w:pPr>
      <w:r w:rsidRPr="00DD24FB">
        <w:rPr>
          <w:rFonts w:ascii="Times New Roman" w:hAnsi="Times New Roman" w:cs="Times New Roman"/>
          <w:sz w:val="24"/>
          <w:szCs w:val="24"/>
          <w:lang w:val="en-US"/>
        </w:rPr>
        <w:t>D</w:t>
      </w:r>
      <w:r w:rsidR="00FE2D86" w:rsidRPr="00DD24FB">
        <w:rPr>
          <w:rFonts w:ascii="Times New Roman" w:hAnsi="Times New Roman" w:cs="Times New Roman"/>
          <w:sz w:val="24"/>
          <w:szCs w:val="24"/>
          <w:lang w:val="en-US"/>
        </w:rPr>
        <w:t>en</w:t>
      </w:r>
      <w:r w:rsidRPr="00DD24FB">
        <w:rPr>
          <w:rFonts w:ascii="Times New Roman" w:hAnsi="Times New Roman" w:cs="Times New Roman"/>
          <w:sz w:val="24"/>
          <w:szCs w:val="24"/>
          <w:lang w:val="en-US"/>
        </w:rPr>
        <w:t>tistry</w:t>
      </w:r>
      <w:r w:rsidR="00FE2D86" w:rsidRPr="00DD24FB">
        <w:rPr>
          <w:rFonts w:ascii="Times New Roman" w:hAnsi="Times New Roman" w:cs="Times New Roman"/>
          <w:sz w:val="24"/>
          <w:szCs w:val="24"/>
          <w:lang w:val="en-US"/>
        </w:rPr>
        <w:tab/>
        <w:t>338</w:t>
      </w:r>
    </w:p>
    <w:p w14:paraId="67ED740C" w14:textId="13FC0EF1" w:rsidR="00FE2D86" w:rsidRPr="00DD24FB" w:rsidRDefault="00DD24FB" w:rsidP="00FE2D86">
      <w:pPr>
        <w:pStyle w:val="ListParagraph"/>
        <w:numPr>
          <w:ilvl w:val="0"/>
          <w:numId w:val="2"/>
        </w:numPr>
        <w:spacing w:line="240" w:lineRule="auto"/>
        <w:ind w:left="357" w:right="57" w:hanging="357"/>
        <w:rPr>
          <w:rFonts w:ascii="Times New Roman" w:hAnsi="Times New Roman" w:cs="Times New Roman"/>
          <w:sz w:val="24"/>
          <w:szCs w:val="24"/>
          <w:lang w:val="en-US"/>
        </w:rPr>
      </w:pPr>
      <w:r w:rsidRPr="00DD24FB">
        <w:rPr>
          <w:rFonts w:ascii="Times New Roman" w:hAnsi="Times New Roman" w:cs="Times New Roman"/>
          <w:sz w:val="24"/>
          <w:szCs w:val="24"/>
          <w:lang w:val="en-US"/>
        </w:rPr>
        <w:t>Nursing</w:t>
      </w:r>
      <w:r w:rsidR="00FE2D86" w:rsidRPr="00DD24FB">
        <w:rPr>
          <w:rFonts w:ascii="Times New Roman" w:hAnsi="Times New Roman" w:cs="Times New Roman"/>
          <w:sz w:val="24"/>
          <w:szCs w:val="24"/>
          <w:lang w:val="en-US"/>
        </w:rPr>
        <w:tab/>
        <w:t>186</w:t>
      </w:r>
    </w:p>
    <w:p w14:paraId="1B89E088" w14:textId="0DFC429E" w:rsidR="00FE2D86" w:rsidRPr="00DD24FB" w:rsidRDefault="00DD24FB" w:rsidP="00DD24FB">
      <w:pPr>
        <w:pStyle w:val="ListParagraph"/>
        <w:numPr>
          <w:ilvl w:val="0"/>
          <w:numId w:val="2"/>
        </w:numPr>
        <w:spacing w:line="240" w:lineRule="auto"/>
        <w:ind w:left="357" w:right="57" w:hanging="357"/>
        <w:rPr>
          <w:rFonts w:ascii="Times New Roman" w:hAnsi="Times New Roman" w:cs="Times New Roman"/>
          <w:sz w:val="24"/>
          <w:szCs w:val="24"/>
          <w:lang w:val="en-US"/>
        </w:rPr>
      </w:pPr>
      <w:r>
        <w:rPr>
          <w:rFonts w:ascii="Times New Roman" w:hAnsi="Times New Roman" w:cs="Times New Roman"/>
          <w:sz w:val="24"/>
          <w:szCs w:val="24"/>
          <w:lang w:val="en-US"/>
        </w:rPr>
        <w:t>Physical and Sports Therapy</w:t>
      </w:r>
      <w:r w:rsidR="00FE2D86" w:rsidRPr="00DD24FB">
        <w:rPr>
          <w:rFonts w:ascii="Times New Roman" w:hAnsi="Times New Roman" w:cs="Times New Roman"/>
          <w:sz w:val="24"/>
          <w:szCs w:val="24"/>
          <w:lang w:val="en-US"/>
        </w:rPr>
        <w:tab/>
        <w:t>138</w:t>
      </w:r>
    </w:p>
    <w:p w14:paraId="137771AA" w14:textId="584DD48C" w:rsidR="00FE2D86" w:rsidRPr="00DD24FB" w:rsidRDefault="00DD24FB" w:rsidP="00DD24FB">
      <w:pPr>
        <w:pStyle w:val="ListParagraph"/>
        <w:numPr>
          <w:ilvl w:val="0"/>
          <w:numId w:val="2"/>
        </w:numPr>
        <w:spacing w:line="240" w:lineRule="auto"/>
        <w:ind w:right="57"/>
        <w:rPr>
          <w:rFonts w:ascii="Times New Roman" w:hAnsi="Times New Roman" w:cs="Times New Roman"/>
          <w:sz w:val="24"/>
          <w:szCs w:val="24"/>
          <w:lang w:val="en-US"/>
        </w:rPr>
      </w:pPr>
      <w:r w:rsidRPr="00DD24FB">
        <w:rPr>
          <w:rFonts w:ascii="Times New Roman" w:hAnsi="Times New Roman" w:cs="Times New Roman"/>
          <w:sz w:val="24"/>
          <w:szCs w:val="24"/>
          <w:lang w:val="en-US"/>
        </w:rPr>
        <w:t>Clinical and Histopathological Laboratory</w:t>
      </w:r>
      <w:r w:rsidR="00FE2D86" w:rsidRPr="00DD24FB">
        <w:rPr>
          <w:rFonts w:ascii="Times New Roman" w:hAnsi="Times New Roman" w:cs="Times New Roman"/>
          <w:sz w:val="24"/>
          <w:szCs w:val="24"/>
          <w:lang w:val="en-US"/>
        </w:rPr>
        <w:tab/>
        <w:t>137</w:t>
      </w:r>
    </w:p>
    <w:p w14:paraId="68503955" w14:textId="5C28E051" w:rsidR="00FE2D86" w:rsidRPr="00DD24FB" w:rsidRDefault="00DD24FB" w:rsidP="00FE2D86">
      <w:pPr>
        <w:pStyle w:val="ListParagraph"/>
        <w:numPr>
          <w:ilvl w:val="0"/>
          <w:numId w:val="2"/>
        </w:numPr>
        <w:spacing w:line="240" w:lineRule="auto"/>
        <w:ind w:left="357" w:right="57" w:hanging="357"/>
        <w:rPr>
          <w:rFonts w:ascii="Times New Roman" w:hAnsi="Times New Roman" w:cs="Times New Roman"/>
          <w:sz w:val="24"/>
          <w:szCs w:val="24"/>
          <w:lang w:val="en-US"/>
        </w:rPr>
      </w:pPr>
      <w:r>
        <w:rPr>
          <w:rFonts w:ascii="Times New Roman" w:hAnsi="Times New Roman" w:cs="Times New Roman"/>
          <w:sz w:val="24"/>
          <w:szCs w:val="24"/>
          <w:lang w:val="en-US"/>
        </w:rPr>
        <w:t>Clinical Psychology</w:t>
      </w:r>
      <w:r w:rsidR="00FE2D86" w:rsidRPr="00DD24FB">
        <w:rPr>
          <w:rFonts w:ascii="Times New Roman" w:hAnsi="Times New Roman" w:cs="Times New Roman"/>
          <w:sz w:val="24"/>
          <w:szCs w:val="24"/>
          <w:lang w:val="en-US"/>
        </w:rPr>
        <w:tab/>
        <w:t>120</w:t>
      </w:r>
    </w:p>
    <w:p w14:paraId="555F3F86" w14:textId="164C5624" w:rsidR="00686DB8" w:rsidRDefault="00DD24FB" w:rsidP="00686DB8">
      <w:pPr>
        <w:pStyle w:val="ListParagraph"/>
        <w:numPr>
          <w:ilvl w:val="0"/>
          <w:numId w:val="2"/>
        </w:numPr>
        <w:ind w:right="57"/>
        <w:rPr>
          <w:rFonts w:ascii="Times New Roman" w:hAnsi="Times New Roman" w:cs="Times New Roman"/>
          <w:sz w:val="24"/>
          <w:szCs w:val="24"/>
          <w:lang w:val="en-US"/>
        </w:rPr>
      </w:pPr>
      <w:r>
        <w:rPr>
          <w:rFonts w:ascii="Times New Roman" w:hAnsi="Times New Roman" w:cs="Times New Roman"/>
          <w:sz w:val="24"/>
          <w:szCs w:val="24"/>
          <w:lang w:val="en-US"/>
        </w:rPr>
        <w:t>Physical Education</w:t>
      </w:r>
      <w:r w:rsidR="00FE2D86" w:rsidRPr="00DD24FB">
        <w:rPr>
          <w:rFonts w:ascii="Times New Roman" w:hAnsi="Times New Roman" w:cs="Times New Roman"/>
          <w:sz w:val="24"/>
          <w:szCs w:val="24"/>
          <w:lang w:val="en-US"/>
        </w:rPr>
        <w:tab/>
        <w:t>38</w:t>
      </w:r>
    </w:p>
    <w:p w14:paraId="099170EF" w14:textId="26146873" w:rsidR="00686DB8" w:rsidRDefault="00686DB8" w:rsidP="00686DB8">
      <w:pPr>
        <w:ind w:right="57"/>
        <w:rPr>
          <w:rFonts w:ascii="Times New Roman" w:hAnsi="Times New Roman" w:cs="Times New Roman"/>
          <w:sz w:val="24"/>
          <w:szCs w:val="24"/>
          <w:lang w:val="en-US"/>
        </w:rPr>
      </w:pPr>
      <w:r w:rsidRPr="00686DB8">
        <w:rPr>
          <w:rFonts w:ascii="Times New Roman" w:hAnsi="Times New Roman" w:cs="Times New Roman"/>
          <w:sz w:val="24"/>
          <w:szCs w:val="24"/>
          <w:lang w:val="en-US"/>
        </w:rPr>
        <w:t>The data was obtained through the application of two instrumen</w:t>
      </w:r>
      <w:r>
        <w:rPr>
          <w:rFonts w:ascii="Times New Roman" w:hAnsi="Times New Roman" w:cs="Times New Roman"/>
          <w:sz w:val="24"/>
          <w:szCs w:val="24"/>
          <w:lang w:val="en-US"/>
        </w:rPr>
        <w:t>ts:</w:t>
      </w:r>
    </w:p>
    <w:p w14:paraId="77F7B813" w14:textId="5530722B" w:rsidR="00686DB8" w:rsidRDefault="00686DB8" w:rsidP="00686DB8">
      <w:pPr>
        <w:ind w:right="57"/>
        <w:rPr>
          <w:rFonts w:ascii="Times New Roman" w:hAnsi="Times New Roman" w:cs="Times New Roman"/>
          <w:sz w:val="24"/>
          <w:szCs w:val="24"/>
          <w:lang w:val="en-US"/>
        </w:rPr>
      </w:pPr>
      <w:r w:rsidRPr="00686DB8">
        <w:rPr>
          <w:rFonts w:ascii="Times New Roman" w:hAnsi="Times New Roman" w:cs="Times New Roman"/>
          <w:sz w:val="24"/>
          <w:szCs w:val="24"/>
          <w:lang w:val="en-US"/>
        </w:rPr>
        <w:t xml:space="preserve">• The </w:t>
      </w:r>
      <w:r>
        <w:rPr>
          <w:rFonts w:ascii="Times New Roman" w:hAnsi="Times New Roman" w:cs="Times New Roman"/>
          <w:sz w:val="24"/>
          <w:szCs w:val="24"/>
          <w:lang w:val="en-US"/>
        </w:rPr>
        <w:t>Q</w:t>
      </w:r>
      <w:r w:rsidRPr="00686DB8">
        <w:rPr>
          <w:rFonts w:ascii="Times New Roman" w:hAnsi="Times New Roman" w:cs="Times New Roman"/>
          <w:sz w:val="24"/>
          <w:szCs w:val="24"/>
          <w:lang w:val="en-US"/>
        </w:rPr>
        <w:t>uestionnaire for the Evaluation of Academic Goals (</w:t>
      </w:r>
      <w:bookmarkStart w:id="2" w:name="_Hlk505445316"/>
      <w:r>
        <w:rPr>
          <w:rFonts w:ascii="Times New Roman" w:hAnsi="Times New Roman" w:cs="Times New Roman"/>
          <w:sz w:val="24"/>
          <w:szCs w:val="24"/>
          <w:lang w:val="en-US"/>
        </w:rPr>
        <w:t>QEAG</w:t>
      </w:r>
      <w:bookmarkEnd w:id="2"/>
      <w:r w:rsidRPr="00686DB8">
        <w:rPr>
          <w:rFonts w:ascii="Times New Roman" w:hAnsi="Times New Roman" w:cs="Times New Roman"/>
          <w:sz w:val="24"/>
          <w:szCs w:val="24"/>
          <w:lang w:val="en-US"/>
        </w:rPr>
        <w:t xml:space="preserve">) (Gaeta et al., 2015), which was designed based on the Dweck theory by </w:t>
      </w:r>
      <w:proofErr w:type="spellStart"/>
      <w:r w:rsidRPr="00686DB8">
        <w:rPr>
          <w:rFonts w:ascii="Times New Roman" w:hAnsi="Times New Roman" w:cs="Times New Roman"/>
          <w:sz w:val="24"/>
          <w:szCs w:val="24"/>
          <w:lang w:val="en-US"/>
        </w:rPr>
        <w:t>Hayamizu</w:t>
      </w:r>
      <w:proofErr w:type="spellEnd"/>
      <w:r w:rsidRPr="00686DB8">
        <w:rPr>
          <w:rFonts w:ascii="Times New Roman" w:hAnsi="Times New Roman" w:cs="Times New Roman"/>
          <w:sz w:val="24"/>
          <w:szCs w:val="24"/>
          <w:lang w:val="en-US"/>
        </w:rPr>
        <w:t xml:space="preserve"> &amp; Weiner at the beginning of the 1990s.  It was subsequently translated and validated by a team led by </w:t>
      </w:r>
      <w:proofErr w:type="spellStart"/>
      <w:r w:rsidRPr="00686DB8">
        <w:rPr>
          <w:rFonts w:ascii="Times New Roman" w:hAnsi="Times New Roman" w:cs="Times New Roman"/>
          <w:sz w:val="24"/>
          <w:szCs w:val="24"/>
          <w:lang w:val="en-US"/>
        </w:rPr>
        <w:t>Núñez</w:t>
      </w:r>
      <w:proofErr w:type="spellEnd"/>
      <w:r w:rsidRPr="00686DB8">
        <w:rPr>
          <w:rFonts w:ascii="Times New Roman" w:hAnsi="Times New Roman" w:cs="Times New Roman"/>
          <w:sz w:val="24"/>
          <w:szCs w:val="24"/>
          <w:lang w:val="en-US"/>
        </w:rPr>
        <w:t xml:space="preserve"> in 1994 through a process in which they obtained values of α (alpha) of Cronbach that oscillated between 0.78 and 0.89 in the indicators established for the four dimensions of study related to the oriented goals: "for learning"</w:t>
      </w:r>
      <w:r w:rsidR="000014A1">
        <w:rPr>
          <w:rFonts w:ascii="Times New Roman" w:hAnsi="Times New Roman" w:cs="Times New Roman"/>
          <w:sz w:val="24"/>
          <w:szCs w:val="24"/>
          <w:lang w:val="en-US"/>
        </w:rPr>
        <w:t>,</w:t>
      </w:r>
      <w:r w:rsidRPr="00686DB8">
        <w:rPr>
          <w:rFonts w:ascii="Times New Roman" w:hAnsi="Times New Roman" w:cs="Times New Roman"/>
          <w:sz w:val="24"/>
          <w:szCs w:val="24"/>
          <w:lang w:val="en-US"/>
        </w:rPr>
        <w:t xml:space="preserve"> "for the self", "for the valuation" and "for the achievement and reward".</w:t>
      </w:r>
    </w:p>
    <w:p w14:paraId="78E0BE91" w14:textId="47E2F9B0" w:rsidR="00686DB8" w:rsidRPr="00686DB8" w:rsidRDefault="00686DB8" w:rsidP="00686DB8">
      <w:pPr>
        <w:ind w:right="57"/>
        <w:rPr>
          <w:rFonts w:ascii="Times New Roman" w:hAnsi="Times New Roman" w:cs="Times New Roman"/>
          <w:sz w:val="24"/>
          <w:szCs w:val="24"/>
          <w:lang w:val="en-US"/>
        </w:rPr>
      </w:pPr>
      <w:r w:rsidRPr="00686DB8">
        <w:rPr>
          <w:rFonts w:ascii="Times New Roman" w:hAnsi="Times New Roman" w:cs="Times New Roman"/>
          <w:sz w:val="24"/>
          <w:szCs w:val="24"/>
          <w:lang w:val="en-US"/>
        </w:rPr>
        <w:lastRenderedPageBreak/>
        <w:t>• The Autonomous Work Strategies Questionnaire (AWSQ)</w:t>
      </w:r>
      <w:r w:rsidR="000014A1">
        <w:rPr>
          <w:rFonts w:ascii="Times New Roman" w:hAnsi="Times New Roman" w:cs="Times New Roman"/>
          <w:sz w:val="24"/>
          <w:szCs w:val="24"/>
          <w:lang w:val="en-US"/>
        </w:rPr>
        <w:t>,</w:t>
      </w:r>
      <w:r w:rsidRPr="00686DB8">
        <w:rPr>
          <w:rFonts w:ascii="Times New Roman" w:hAnsi="Times New Roman" w:cs="Times New Roman"/>
          <w:sz w:val="24"/>
          <w:szCs w:val="24"/>
          <w:lang w:val="en-US"/>
        </w:rPr>
        <w:t xml:space="preserve"> designed and validated by López </w:t>
      </w:r>
      <w:proofErr w:type="spellStart"/>
      <w:r w:rsidRPr="00686DB8">
        <w:rPr>
          <w:rFonts w:ascii="Times New Roman" w:hAnsi="Times New Roman" w:cs="Times New Roman"/>
          <w:sz w:val="24"/>
          <w:szCs w:val="24"/>
          <w:lang w:val="en-US"/>
        </w:rPr>
        <w:t>Aguado</w:t>
      </w:r>
      <w:proofErr w:type="spellEnd"/>
      <w:r w:rsidRPr="00686DB8">
        <w:rPr>
          <w:rFonts w:ascii="Times New Roman" w:hAnsi="Times New Roman" w:cs="Times New Roman"/>
          <w:sz w:val="24"/>
          <w:szCs w:val="24"/>
          <w:lang w:val="en-US"/>
        </w:rPr>
        <w:t xml:space="preserve"> (2010, p.150), whose reliability analysis yielded a coefficient </w:t>
      </w:r>
      <w:r w:rsidRPr="00686DB8">
        <w:rPr>
          <w:rFonts w:ascii="Times New Roman" w:hAnsi="Times New Roman" w:cs="Times New Roman"/>
          <w:sz w:val="24"/>
          <w:szCs w:val="24"/>
        </w:rPr>
        <w:t>α</w:t>
      </w:r>
      <w:r w:rsidRPr="00686DB8">
        <w:rPr>
          <w:rFonts w:ascii="Times New Roman" w:hAnsi="Times New Roman" w:cs="Times New Roman"/>
          <w:sz w:val="24"/>
          <w:szCs w:val="24"/>
          <w:lang w:val="en-US"/>
        </w:rPr>
        <w:t xml:space="preserve"> (alpha) of Cronbach of 0.898 for the established dimensions of the types of strategies </w:t>
      </w:r>
      <w:r w:rsidR="006060D0" w:rsidRPr="006060D0">
        <w:rPr>
          <w:rFonts w:ascii="Times New Roman" w:hAnsi="Times New Roman" w:cs="Times New Roman"/>
          <w:color w:val="FF0000"/>
          <w:sz w:val="24"/>
          <w:szCs w:val="24"/>
          <w:lang w:val="en-US"/>
        </w:rPr>
        <w:t>made</w:t>
      </w:r>
      <w:r w:rsidRPr="006060D0">
        <w:rPr>
          <w:rFonts w:ascii="Times New Roman" w:hAnsi="Times New Roman" w:cs="Times New Roman"/>
          <w:color w:val="FF0000"/>
          <w:sz w:val="24"/>
          <w:szCs w:val="24"/>
          <w:lang w:val="en-US"/>
        </w:rPr>
        <w:t xml:space="preserve"> </w:t>
      </w:r>
      <w:r w:rsidRPr="00686DB8">
        <w:rPr>
          <w:rFonts w:ascii="Times New Roman" w:hAnsi="Times New Roman" w:cs="Times New Roman"/>
          <w:sz w:val="24"/>
          <w:szCs w:val="24"/>
          <w:lang w:val="en-US"/>
        </w:rPr>
        <w:t>for the dimensions of: "expansion", "collaboration", "conceptual structuring", "planning", "preparation for exams" and "participation".</w:t>
      </w:r>
    </w:p>
    <w:p w14:paraId="43963DC5" w14:textId="00A9EBC9" w:rsidR="00FE2D86" w:rsidRDefault="00686DB8" w:rsidP="000650B2">
      <w:pPr>
        <w:rPr>
          <w:rFonts w:ascii="Times New Roman" w:hAnsi="Times New Roman" w:cs="Times New Roman"/>
          <w:sz w:val="24"/>
          <w:szCs w:val="24"/>
          <w:lang w:val="en-US"/>
        </w:rPr>
      </w:pPr>
      <w:r w:rsidRPr="00686DB8">
        <w:rPr>
          <w:rFonts w:ascii="Times New Roman" w:hAnsi="Times New Roman" w:cs="Times New Roman"/>
          <w:sz w:val="24"/>
          <w:szCs w:val="24"/>
          <w:lang w:val="en-US"/>
        </w:rPr>
        <w:t>The indicators and dimensions of both instruments were analyzed statistically using a scale of five quantitative and qualitative categories:</w:t>
      </w:r>
    </w:p>
    <w:p w14:paraId="7B1950D3" w14:textId="77777777" w:rsidR="00686DB8" w:rsidRP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1 ---------- Never</w:t>
      </w:r>
    </w:p>
    <w:p w14:paraId="153EA27F" w14:textId="77777777" w:rsidR="00686DB8" w:rsidRP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2 ---------- Seldom</w:t>
      </w:r>
    </w:p>
    <w:p w14:paraId="1EEC8EB9" w14:textId="77777777" w:rsidR="00686DB8" w:rsidRP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3 ---------- Sometimes</w:t>
      </w:r>
    </w:p>
    <w:p w14:paraId="742C059A" w14:textId="77777777" w:rsidR="00686DB8" w:rsidRP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4 ---------- Many times</w:t>
      </w:r>
    </w:p>
    <w:p w14:paraId="11C73A7D" w14:textId="42A8FD16" w:rsid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5 ---------- Always</w:t>
      </w:r>
    </w:p>
    <w:p w14:paraId="680218CB" w14:textId="17DBB55B" w:rsid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xml:space="preserve">The four dimensions of </w:t>
      </w:r>
      <w:r>
        <w:rPr>
          <w:rFonts w:ascii="Times New Roman" w:hAnsi="Times New Roman" w:cs="Times New Roman"/>
          <w:sz w:val="24"/>
          <w:szCs w:val="24"/>
          <w:lang w:val="en-US"/>
        </w:rPr>
        <w:t>QEAG</w:t>
      </w:r>
      <w:r w:rsidRPr="00686DB8">
        <w:rPr>
          <w:rFonts w:ascii="Times New Roman" w:hAnsi="Times New Roman" w:cs="Times New Roman"/>
          <w:sz w:val="24"/>
          <w:szCs w:val="24"/>
          <w:lang w:val="en-US"/>
        </w:rPr>
        <w:t xml:space="preserve"> have the following characteristics:</w:t>
      </w:r>
    </w:p>
    <w:p w14:paraId="62C925EB" w14:textId="40C7B5B6" w:rsidR="00686DB8" w:rsidRDefault="00686DB8" w:rsidP="00686DB8">
      <w:pPr>
        <w:rPr>
          <w:rFonts w:ascii="Times New Roman" w:hAnsi="Times New Roman" w:cs="Times New Roman"/>
          <w:sz w:val="24"/>
          <w:szCs w:val="24"/>
          <w:lang w:val="en-US"/>
        </w:rPr>
      </w:pPr>
      <w:r w:rsidRPr="00686DB8">
        <w:rPr>
          <w:rFonts w:ascii="Times New Roman" w:hAnsi="Times New Roman" w:cs="Times New Roman"/>
          <w:sz w:val="24"/>
          <w:szCs w:val="24"/>
          <w:lang w:val="en-US"/>
        </w:rPr>
        <w:t xml:space="preserve">• </w:t>
      </w:r>
      <w:r w:rsidRPr="003F29BE">
        <w:rPr>
          <w:rFonts w:ascii="Times New Roman" w:hAnsi="Times New Roman" w:cs="Times New Roman"/>
          <w:b/>
          <w:sz w:val="24"/>
          <w:szCs w:val="24"/>
          <w:lang w:val="en-US"/>
        </w:rPr>
        <w:t>Learning-oriented goals:</w:t>
      </w:r>
      <w:r w:rsidRPr="00686DB8">
        <w:rPr>
          <w:rFonts w:ascii="Times New Roman" w:hAnsi="Times New Roman" w:cs="Times New Roman"/>
          <w:sz w:val="24"/>
          <w:szCs w:val="24"/>
          <w:lang w:val="en-US"/>
        </w:rPr>
        <w:t xml:space="preserve"> it is the only one of an intrinsic motivational nature within the instrument. These are associated with the desire to learn, develop and improve abilities. The indicators "acquisition of competence and control" and "interest in the matter" will allow for the determination of their status.</w:t>
      </w:r>
    </w:p>
    <w:p w14:paraId="4892D14C" w14:textId="3E33667C" w:rsidR="00686DB8" w:rsidRDefault="00686DB8" w:rsidP="00686DB8">
      <w:pPr>
        <w:rPr>
          <w:rFonts w:ascii="Times New Roman" w:hAnsi="Times New Roman" w:cs="Times New Roman"/>
          <w:sz w:val="24"/>
          <w:szCs w:val="24"/>
          <w:lang w:val="en-US"/>
        </w:rPr>
      </w:pPr>
      <w:r w:rsidRPr="003F29BE">
        <w:rPr>
          <w:rFonts w:ascii="Times New Roman" w:hAnsi="Times New Roman" w:cs="Times New Roman"/>
          <w:b/>
          <w:sz w:val="24"/>
          <w:szCs w:val="24"/>
          <w:lang w:val="en-US"/>
        </w:rPr>
        <w:t>• Self oriented goals:</w:t>
      </w:r>
      <w:r w:rsidRPr="00686DB8">
        <w:rPr>
          <w:rFonts w:ascii="Times New Roman" w:hAnsi="Times New Roman" w:cs="Times New Roman"/>
          <w:sz w:val="24"/>
          <w:szCs w:val="24"/>
          <w:lang w:val="en-US"/>
        </w:rPr>
        <w:t xml:space="preserve"> these are oriented to reach satisfactory levels of self-assessment and can be established from the following indicators: "the personal implication defined by a defense of the self" and "the implication of </w:t>
      </w:r>
      <w:r w:rsidR="006060D0">
        <w:rPr>
          <w:rFonts w:ascii="Times New Roman" w:hAnsi="Times New Roman" w:cs="Times New Roman"/>
          <w:sz w:val="24"/>
          <w:szCs w:val="24"/>
          <w:lang w:val="en-US"/>
        </w:rPr>
        <w:t xml:space="preserve">searching </w:t>
      </w:r>
      <w:r w:rsidRPr="00686DB8">
        <w:rPr>
          <w:rFonts w:ascii="Times New Roman" w:hAnsi="Times New Roman" w:cs="Times New Roman"/>
          <w:sz w:val="24"/>
          <w:szCs w:val="24"/>
          <w:lang w:val="en-US"/>
        </w:rPr>
        <w:t xml:space="preserve">for </w:t>
      </w:r>
      <w:r w:rsidR="006060D0">
        <w:rPr>
          <w:rFonts w:ascii="Times New Roman" w:hAnsi="Times New Roman" w:cs="Times New Roman"/>
          <w:sz w:val="24"/>
          <w:szCs w:val="24"/>
          <w:lang w:val="en-US"/>
        </w:rPr>
        <w:t>self-</w:t>
      </w:r>
      <w:r w:rsidRPr="00686DB8">
        <w:rPr>
          <w:rFonts w:ascii="Times New Roman" w:hAnsi="Times New Roman" w:cs="Times New Roman"/>
          <w:sz w:val="24"/>
          <w:szCs w:val="24"/>
          <w:lang w:val="en-US"/>
        </w:rPr>
        <w:t>enlargement".</w:t>
      </w:r>
    </w:p>
    <w:p w14:paraId="6180E082" w14:textId="6DB7CA00" w:rsidR="00686DB8" w:rsidRDefault="003F29BE" w:rsidP="00686DB8">
      <w:pPr>
        <w:rPr>
          <w:rFonts w:ascii="Times New Roman" w:hAnsi="Times New Roman" w:cs="Times New Roman"/>
          <w:sz w:val="24"/>
          <w:szCs w:val="24"/>
          <w:lang w:val="en-US"/>
        </w:rPr>
      </w:pPr>
      <w:r w:rsidRPr="003F29BE">
        <w:rPr>
          <w:rFonts w:ascii="Times New Roman" w:hAnsi="Times New Roman" w:cs="Times New Roman"/>
          <w:sz w:val="24"/>
          <w:szCs w:val="24"/>
          <w:lang w:val="en-US"/>
        </w:rPr>
        <w:t xml:space="preserve">• </w:t>
      </w:r>
      <w:r w:rsidRPr="003F29BE">
        <w:rPr>
          <w:rFonts w:ascii="Times New Roman" w:hAnsi="Times New Roman" w:cs="Times New Roman"/>
          <w:b/>
          <w:sz w:val="24"/>
          <w:szCs w:val="24"/>
          <w:lang w:val="en-US"/>
        </w:rPr>
        <w:t>Goals aimed at assessment:</w:t>
      </w:r>
      <w:r w:rsidRPr="003F29BE">
        <w:rPr>
          <w:rFonts w:ascii="Times New Roman" w:hAnsi="Times New Roman" w:cs="Times New Roman"/>
          <w:sz w:val="24"/>
          <w:szCs w:val="24"/>
          <w:lang w:val="en-US"/>
        </w:rPr>
        <w:t xml:space="preserve"> these are aimed at demonstrating the capacity or protecting the personal image by seeking positive evaluations from others. </w:t>
      </w:r>
      <w:r>
        <w:rPr>
          <w:rFonts w:ascii="Times New Roman" w:hAnsi="Times New Roman" w:cs="Times New Roman"/>
          <w:sz w:val="24"/>
          <w:szCs w:val="24"/>
          <w:lang w:val="en-US"/>
        </w:rPr>
        <w:t>The</w:t>
      </w:r>
      <w:r w:rsidRPr="003F29BE">
        <w:rPr>
          <w:rFonts w:ascii="Times New Roman" w:hAnsi="Times New Roman" w:cs="Times New Roman"/>
          <w:sz w:val="24"/>
          <w:szCs w:val="24"/>
          <w:lang w:val="en-US"/>
        </w:rPr>
        <w:t xml:space="preserve"> indicator is "the acquisition of social valuation".</w:t>
      </w:r>
    </w:p>
    <w:p w14:paraId="3ECD54CA" w14:textId="06438C4E" w:rsidR="003F29BE" w:rsidRDefault="003F29BE" w:rsidP="00686DB8">
      <w:pPr>
        <w:rPr>
          <w:rFonts w:ascii="Times New Roman" w:hAnsi="Times New Roman" w:cs="Times New Roman"/>
          <w:sz w:val="24"/>
          <w:szCs w:val="24"/>
          <w:lang w:val="en-US"/>
        </w:rPr>
      </w:pPr>
      <w:r w:rsidRPr="003F29BE">
        <w:rPr>
          <w:rFonts w:ascii="Times New Roman" w:hAnsi="Times New Roman" w:cs="Times New Roman"/>
          <w:sz w:val="24"/>
          <w:szCs w:val="24"/>
          <w:lang w:val="en-US"/>
        </w:rPr>
        <w:t xml:space="preserve">• </w:t>
      </w:r>
      <w:r w:rsidRPr="003F29BE">
        <w:rPr>
          <w:rFonts w:ascii="Times New Roman" w:hAnsi="Times New Roman" w:cs="Times New Roman"/>
          <w:b/>
          <w:sz w:val="24"/>
          <w:szCs w:val="24"/>
          <w:lang w:val="en-US"/>
        </w:rPr>
        <w:t>Achievement of goals and rewards:</w:t>
      </w:r>
      <w:r w:rsidRPr="003F29BE">
        <w:rPr>
          <w:rFonts w:ascii="Times New Roman" w:hAnsi="Times New Roman" w:cs="Times New Roman"/>
          <w:sz w:val="24"/>
          <w:szCs w:val="24"/>
          <w:lang w:val="en-US"/>
        </w:rPr>
        <w:t xml:space="preserve"> are those aimed at receiving external compensation or not losing certain privileges; The established indicators are " decent future work" and "avoidance of punishment".</w:t>
      </w:r>
    </w:p>
    <w:p w14:paraId="686A39D1" w14:textId="1A8E94EA"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sz w:val="24"/>
          <w:szCs w:val="24"/>
          <w:lang w:val="en-US"/>
        </w:rPr>
        <w:t xml:space="preserve">The </w:t>
      </w:r>
      <w:r w:rsidRPr="00686DB8">
        <w:rPr>
          <w:rFonts w:ascii="Times New Roman" w:hAnsi="Times New Roman" w:cs="Times New Roman"/>
          <w:sz w:val="24"/>
          <w:szCs w:val="24"/>
          <w:lang w:val="en-US"/>
        </w:rPr>
        <w:t>AWSQ</w:t>
      </w:r>
      <w:r w:rsidRPr="002B6ADE">
        <w:rPr>
          <w:rFonts w:ascii="Times New Roman" w:hAnsi="Times New Roman" w:cs="Times New Roman"/>
          <w:sz w:val="24"/>
          <w:szCs w:val="24"/>
          <w:lang w:val="en-US"/>
        </w:rPr>
        <w:t xml:space="preserve"> is designed to study six dimensions that do not have established indicators and are conceptualized as follows:</w:t>
      </w:r>
    </w:p>
    <w:p w14:paraId="6AF3A6E7" w14:textId="06C8268D"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b/>
          <w:sz w:val="24"/>
          <w:szCs w:val="24"/>
          <w:lang w:val="en-US"/>
        </w:rPr>
        <w:t>Expansion strategies:</w:t>
      </w:r>
      <w:r w:rsidRPr="002B6ADE">
        <w:rPr>
          <w:rFonts w:ascii="Times New Roman" w:hAnsi="Times New Roman" w:cs="Times New Roman"/>
          <w:sz w:val="24"/>
          <w:szCs w:val="24"/>
          <w:lang w:val="en-US"/>
        </w:rPr>
        <w:t xml:space="preserve"> relating to the search and selection of information that complements the data already compiled about the various objects of study</w:t>
      </w:r>
      <w:r>
        <w:rPr>
          <w:rFonts w:ascii="Times New Roman" w:hAnsi="Times New Roman" w:cs="Times New Roman"/>
          <w:sz w:val="24"/>
          <w:szCs w:val="24"/>
          <w:lang w:val="en-US"/>
        </w:rPr>
        <w:t>.</w:t>
      </w:r>
    </w:p>
    <w:p w14:paraId="477B93CA" w14:textId="364618E1"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sz w:val="24"/>
          <w:szCs w:val="24"/>
          <w:lang w:val="en-US"/>
        </w:rPr>
        <w:lastRenderedPageBreak/>
        <w:t xml:space="preserve">• </w:t>
      </w:r>
      <w:r w:rsidRPr="002B6ADE">
        <w:rPr>
          <w:rFonts w:ascii="Times New Roman" w:hAnsi="Times New Roman" w:cs="Times New Roman"/>
          <w:b/>
          <w:sz w:val="24"/>
          <w:szCs w:val="24"/>
          <w:lang w:val="en-US"/>
        </w:rPr>
        <w:t>Collaboration strategies:</w:t>
      </w:r>
      <w:r w:rsidRPr="002B6ADE">
        <w:rPr>
          <w:rFonts w:ascii="Times New Roman" w:hAnsi="Times New Roman" w:cs="Times New Roman"/>
          <w:sz w:val="24"/>
          <w:szCs w:val="24"/>
          <w:lang w:val="en-US"/>
        </w:rPr>
        <w:t xml:space="preserve"> involves the use of group work to achieve cognitive goals common to all members.</w:t>
      </w:r>
    </w:p>
    <w:p w14:paraId="3A3545AF" w14:textId="108ADB2A"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sz w:val="24"/>
          <w:szCs w:val="24"/>
          <w:lang w:val="en-US"/>
        </w:rPr>
        <w:t xml:space="preserve">• </w:t>
      </w:r>
      <w:r w:rsidRPr="002B6ADE">
        <w:rPr>
          <w:rFonts w:ascii="Times New Roman" w:hAnsi="Times New Roman" w:cs="Times New Roman"/>
          <w:b/>
          <w:sz w:val="24"/>
          <w:szCs w:val="24"/>
          <w:lang w:val="en-US"/>
        </w:rPr>
        <w:t>Structuring conceptual strategies:</w:t>
      </w:r>
      <w:r w:rsidRPr="002B6ADE">
        <w:rPr>
          <w:rFonts w:ascii="Times New Roman" w:hAnsi="Times New Roman" w:cs="Times New Roman"/>
          <w:sz w:val="24"/>
          <w:szCs w:val="24"/>
          <w:lang w:val="en-US"/>
        </w:rPr>
        <w:t xml:space="preserve">  is aimed at structuring systems of theoretical knowledge for better understanding, integration and application.</w:t>
      </w:r>
    </w:p>
    <w:p w14:paraId="3A06857E" w14:textId="156CA246"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b/>
          <w:sz w:val="24"/>
          <w:szCs w:val="24"/>
          <w:lang w:val="en-US"/>
        </w:rPr>
        <w:t>• Planning strategies:</w:t>
      </w:r>
      <w:r w:rsidRPr="002B6ADE">
        <w:rPr>
          <w:rFonts w:ascii="Times New Roman" w:hAnsi="Times New Roman" w:cs="Times New Roman"/>
          <w:sz w:val="24"/>
          <w:szCs w:val="24"/>
          <w:lang w:val="en-US"/>
        </w:rPr>
        <w:t xml:space="preserve"> aimed at establishing mechanisms of organization and distribution of time and resources for more efficient application (evaluation plays a fundamental role in these).</w:t>
      </w:r>
    </w:p>
    <w:p w14:paraId="039A12A1" w14:textId="6A0FCEAF" w:rsidR="002B6ADE" w:rsidRDefault="002B6ADE" w:rsidP="00686DB8">
      <w:pPr>
        <w:rPr>
          <w:rFonts w:ascii="Times New Roman" w:hAnsi="Times New Roman" w:cs="Times New Roman"/>
          <w:sz w:val="24"/>
          <w:szCs w:val="24"/>
          <w:lang w:val="en-US"/>
        </w:rPr>
      </w:pPr>
      <w:r w:rsidRPr="002B6ADE">
        <w:rPr>
          <w:rFonts w:ascii="Times New Roman" w:hAnsi="Times New Roman" w:cs="Times New Roman"/>
          <w:sz w:val="24"/>
          <w:szCs w:val="24"/>
          <w:lang w:val="en-US"/>
        </w:rPr>
        <w:t xml:space="preserve">• </w:t>
      </w:r>
      <w:r w:rsidRPr="002B6ADE">
        <w:rPr>
          <w:rFonts w:ascii="Times New Roman" w:hAnsi="Times New Roman" w:cs="Times New Roman"/>
          <w:b/>
          <w:sz w:val="24"/>
          <w:szCs w:val="24"/>
          <w:lang w:val="en-US"/>
        </w:rPr>
        <w:t>Exam preparation strategies:</w:t>
      </w:r>
      <w:r w:rsidRPr="002B6ADE">
        <w:rPr>
          <w:rFonts w:ascii="Times New Roman" w:hAnsi="Times New Roman" w:cs="Times New Roman"/>
          <w:sz w:val="24"/>
          <w:szCs w:val="24"/>
          <w:lang w:val="en-US"/>
        </w:rPr>
        <w:t xml:space="preserve"> are related to the systematization of the present knowledge for the micro-curricular document guides, from the view point of obtaining good results for the evaluations at the end of the cycle or academic periods.</w:t>
      </w:r>
    </w:p>
    <w:p w14:paraId="7B7903C9" w14:textId="01800EAF" w:rsidR="002B6ADE" w:rsidRDefault="00365FEB" w:rsidP="00686DB8">
      <w:pPr>
        <w:rPr>
          <w:rFonts w:ascii="Times New Roman" w:hAnsi="Times New Roman" w:cs="Times New Roman"/>
          <w:sz w:val="24"/>
          <w:szCs w:val="24"/>
          <w:lang w:val="en-US"/>
        </w:rPr>
      </w:pPr>
      <w:r w:rsidRPr="00365FEB">
        <w:rPr>
          <w:rFonts w:ascii="Times New Roman" w:hAnsi="Times New Roman" w:cs="Times New Roman"/>
          <w:b/>
          <w:sz w:val="24"/>
          <w:szCs w:val="24"/>
          <w:lang w:val="en-US"/>
        </w:rPr>
        <w:t>• Participation strategies:</w:t>
      </w:r>
      <w:r w:rsidRPr="00365FEB">
        <w:rPr>
          <w:rFonts w:ascii="Times New Roman" w:hAnsi="Times New Roman" w:cs="Times New Roman"/>
          <w:sz w:val="24"/>
          <w:szCs w:val="24"/>
          <w:lang w:val="en-US"/>
        </w:rPr>
        <w:t xml:space="preserve"> those focused on </w:t>
      </w:r>
      <w:r w:rsidR="006060D0" w:rsidRPr="00365FEB">
        <w:rPr>
          <w:rFonts w:ascii="Times New Roman" w:hAnsi="Times New Roman" w:cs="Times New Roman"/>
          <w:sz w:val="24"/>
          <w:szCs w:val="24"/>
          <w:lang w:val="en-US"/>
        </w:rPr>
        <w:t>all</w:t>
      </w:r>
      <w:r w:rsidRPr="00365FEB">
        <w:rPr>
          <w:rFonts w:ascii="Times New Roman" w:hAnsi="Times New Roman" w:cs="Times New Roman"/>
          <w:sz w:val="24"/>
          <w:szCs w:val="24"/>
          <w:lang w:val="en-US"/>
        </w:rPr>
        <w:t xml:space="preserve"> the regular training activities (classes, seminars, others) and support (academic tutorials, clarification of doubts, etc.), with the objective of efficiently exploiting the teacher's guide.</w:t>
      </w:r>
    </w:p>
    <w:p w14:paraId="17839F10" w14:textId="452FF4EF" w:rsidR="00365FEB" w:rsidRDefault="00365FEB" w:rsidP="00686DB8">
      <w:pPr>
        <w:rPr>
          <w:rFonts w:ascii="Times New Roman" w:hAnsi="Times New Roman" w:cs="Times New Roman"/>
          <w:sz w:val="24"/>
          <w:szCs w:val="24"/>
          <w:lang w:val="en-US"/>
        </w:rPr>
      </w:pPr>
      <w:r w:rsidRPr="00365FEB">
        <w:rPr>
          <w:rFonts w:ascii="Times New Roman" w:hAnsi="Times New Roman" w:cs="Times New Roman"/>
          <w:sz w:val="24"/>
          <w:szCs w:val="24"/>
          <w:lang w:val="en-US"/>
        </w:rPr>
        <w:t>The employed methodology used during the investigative process was based on the theory presented by Ramírez-Fernández (2016, p.1), where several stages are established for the performance of observational studies.</w:t>
      </w:r>
    </w:p>
    <w:p w14:paraId="5BD4613E" w14:textId="13B9736B" w:rsidR="00365FEB" w:rsidRDefault="00365FEB" w:rsidP="00686DB8">
      <w:pPr>
        <w:rPr>
          <w:rFonts w:ascii="Times New Roman" w:hAnsi="Times New Roman" w:cs="Times New Roman"/>
          <w:sz w:val="24"/>
          <w:szCs w:val="24"/>
          <w:lang w:val="en-US"/>
        </w:rPr>
      </w:pPr>
      <w:r w:rsidRPr="00365FEB">
        <w:rPr>
          <w:rFonts w:ascii="Times New Roman" w:hAnsi="Times New Roman" w:cs="Times New Roman"/>
          <w:sz w:val="24"/>
          <w:szCs w:val="24"/>
          <w:lang w:val="en-US"/>
        </w:rPr>
        <w:t>Firstly, the researchers carried out the bibliographic review that allowed them to establish theoretical positions based on the analysis and systematization of the information collected regarding the object of study in question.</w:t>
      </w:r>
    </w:p>
    <w:p w14:paraId="4C8D8B24" w14:textId="351B103E" w:rsidR="00365FEB" w:rsidRDefault="00365FEB" w:rsidP="00686DB8">
      <w:pPr>
        <w:rPr>
          <w:rFonts w:ascii="Times New Roman" w:hAnsi="Times New Roman" w:cs="Times New Roman"/>
          <w:sz w:val="24"/>
          <w:szCs w:val="24"/>
          <w:lang w:val="en-US"/>
        </w:rPr>
      </w:pPr>
      <w:r w:rsidRPr="00365FEB">
        <w:rPr>
          <w:rFonts w:ascii="Times New Roman" w:hAnsi="Times New Roman" w:cs="Times New Roman"/>
          <w:sz w:val="24"/>
          <w:szCs w:val="24"/>
          <w:lang w:val="en-US"/>
        </w:rPr>
        <w:t>Then, the instrument was applied to the individuals of the study sample, whose resulting data was systematized in a base created in Microsoft Excel, which was later imported into the Windows SPSS program using the corresponding tests of its statistical package.</w:t>
      </w:r>
    </w:p>
    <w:p w14:paraId="6A4AD9C3" w14:textId="6C999808" w:rsidR="00365FEB" w:rsidRDefault="00365FEB" w:rsidP="00686DB8">
      <w:pPr>
        <w:rPr>
          <w:rFonts w:ascii="Times New Roman" w:hAnsi="Times New Roman" w:cs="Times New Roman"/>
          <w:sz w:val="24"/>
          <w:szCs w:val="24"/>
          <w:lang w:val="en-US"/>
        </w:rPr>
      </w:pPr>
      <w:r w:rsidRPr="00365FEB">
        <w:rPr>
          <w:rFonts w:ascii="Times New Roman" w:hAnsi="Times New Roman" w:cs="Times New Roman"/>
          <w:sz w:val="24"/>
          <w:szCs w:val="24"/>
          <w:lang w:val="en-US"/>
        </w:rPr>
        <w:t xml:space="preserve">Finally, a quantitative analysis of the systematized data was carried out through statistics at a descriptive level, such as relative and absolute frequencies, as well as measurement tests with a central tendency (means, medians and </w:t>
      </w:r>
      <w:r w:rsidRPr="006060D0">
        <w:rPr>
          <w:rFonts w:ascii="Times New Roman" w:hAnsi="Times New Roman" w:cs="Times New Roman"/>
          <w:color w:val="FF0000"/>
          <w:sz w:val="24"/>
          <w:szCs w:val="24"/>
          <w:lang w:val="en-US"/>
        </w:rPr>
        <w:t>fashions</w:t>
      </w:r>
      <w:r w:rsidRPr="00365FEB">
        <w:rPr>
          <w:rFonts w:ascii="Times New Roman" w:hAnsi="Times New Roman" w:cs="Times New Roman"/>
          <w:sz w:val="24"/>
          <w:szCs w:val="24"/>
          <w:lang w:val="en-US"/>
        </w:rPr>
        <w:t>) and a nonparametric inferential. (Pearson Correlation Test).</w:t>
      </w:r>
    </w:p>
    <w:p w14:paraId="5B6A50E2" w14:textId="6B9AA05D" w:rsidR="00365FEB" w:rsidRDefault="00365FEB" w:rsidP="00686DB8">
      <w:pPr>
        <w:rPr>
          <w:rFonts w:ascii="Times New Roman" w:hAnsi="Times New Roman" w:cs="Times New Roman"/>
          <w:sz w:val="24"/>
          <w:szCs w:val="24"/>
          <w:lang w:val="en-US"/>
        </w:rPr>
      </w:pPr>
      <w:r w:rsidRPr="00365FEB">
        <w:rPr>
          <w:rFonts w:ascii="Times New Roman" w:hAnsi="Times New Roman" w:cs="Times New Roman"/>
          <w:sz w:val="24"/>
          <w:szCs w:val="24"/>
          <w:lang w:val="en-US"/>
        </w:rPr>
        <w:t>There are publications that show different scales of interpretation of the results for linear correlation tests. In this regard, the authors  have based the presented research on the criteria of Martínez-Ortega et al. (2009, p.9), who argue that the interpretation of the coefficient r is defined as follows: 0 indicates absence of correlation, values between 0 and 1 indicate various levels of positive relationship (x increases  as it increases, and vice versa); while between 0 and -1 it is negative ( x then increases and decreases, and vice versa).</w:t>
      </w:r>
    </w:p>
    <w:p w14:paraId="06BF3B1E" w14:textId="171A344C" w:rsidR="00282C7D" w:rsidRDefault="00282C7D" w:rsidP="00686DB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Scale for l</w:t>
      </w:r>
      <w:r w:rsidRPr="00282C7D">
        <w:rPr>
          <w:rFonts w:ascii="Times New Roman" w:hAnsi="Times New Roman" w:cs="Times New Roman"/>
          <w:sz w:val="24"/>
          <w:szCs w:val="24"/>
          <w:lang w:val="en-US"/>
        </w:rPr>
        <w:t>inear correlation ranges (independent from the sign of the values):</w:t>
      </w:r>
    </w:p>
    <w:p w14:paraId="7F5D9BD1" w14:textId="77777777" w:rsidR="00282C7D" w:rsidRDefault="00282C7D" w:rsidP="00686DB8">
      <w:pPr>
        <w:rPr>
          <w:rFonts w:ascii="Times New Roman" w:hAnsi="Times New Roman" w:cs="Times New Roman"/>
          <w:sz w:val="24"/>
          <w:szCs w:val="24"/>
          <w:lang w:val="en-US"/>
        </w:rPr>
      </w:pPr>
      <w:r w:rsidRPr="00282C7D">
        <w:rPr>
          <w:rFonts w:ascii="Times New Roman" w:hAnsi="Times New Roman" w:cs="Times New Roman"/>
          <w:sz w:val="24"/>
          <w:szCs w:val="24"/>
          <w:lang w:val="en-US"/>
        </w:rPr>
        <w:t>• 0 - 0.25: little or no</w:t>
      </w:r>
    </w:p>
    <w:p w14:paraId="4EF4C45B" w14:textId="77777777" w:rsidR="00282C7D" w:rsidRDefault="00282C7D" w:rsidP="00686DB8">
      <w:pPr>
        <w:rPr>
          <w:rFonts w:ascii="Times New Roman" w:hAnsi="Times New Roman" w:cs="Times New Roman"/>
          <w:sz w:val="24"/>
          <w:szCs w:val="24"/>
          <w:lang w:val="en-US"/>
        </w:rPr>
      </w:pPr>
      <w:r w:rsidRPr="00282C7D">
        <w:rPr>
          <w:rFonts w:ascii="Times New Roman" w:hAnsi="Times New Roman" w:cs="Times New Roman"/>
          <w:sz w:val="24"/>
          <w:szCs w:val="24"/>
          <w:lang w:val="en-US"/>
        </w:rPr>
        <w:t>• 0.26 - 0.50: weak</w:t>
      </w:r>
    </w:p>
    <w:p w14:paraId="521DCD75" w14:textId="77777777" w:rsidR="00282C7D" w:rsidRDefault="00282C7D" w:rsidP="00686DB8">
      <w:pPr>
        <w:rPr>
          <w:rFonts w:ascii="Times New Roman" w:hAnsi="Times New Roman" w:cs="Times New Roman"/>
          <w:sz w:val="24"/>
          <w:szCs w:val="24"/>
          <w:lang w:val="en-US"/>
        </w:rPr>
      </w:pPr>
      <w:r w:rsidRPr="00282C7D">
        <w:rPr>
          <w:rFonts w:ascii="Times New Roman" w:hAnsi="Times New Roman" w:cs="Times New Roman"/>
          <w:sz w:val="24"/>
          <w:szCs w:val="24"/>
          <w:lang w:val="en-US"/>
        </w:rPr>
        <w:t>• 0.51 - 0.75: moderate or strong</w:t>
      </w:r>
    </w:p>
    <w:p w14:paraId="252BE77A" w14:textId="6354F58A" w:rsidR="00282C7D" w:rsidRDefault="00282C7D" w:rsidP="00686DB8">
      <w:pPr>
        <w:rPr>
          <w:rFonts w:ascii="Times New Roman" w:hAnsi="Times New Roman" w:cs="Times New Roman"/>
          <w:sz w:val="24"/>
          <w:szCs w:val="24"/>
          <w:lang w:val="en-US"/>
        </w:rPr>
      </w:pPr>
      <w:r w:rsidRPr="00282C7D">
        <w:rPr>
          <w:rFonts w:ascii="Times New Roman" w:hAnsi="Times New Roman" w:cs="Times New Roman"/>
          <w:sz w:val="24"/>
          <w:szCs w:val="24"/>
          <w:lang w:val="en-US"/>
        </w:rPr>
        <w:t>• 0.76 - 1.00: strong or perfect</w:t>
      </w:r>
    </w:p>
    <w:p w14:paraId="4D5C963C" w14:textId="51D7100A" w:rsidR="00282C7D" w:rsidRDefault="00181ED4" w:rsidP="00686DB8">
      <w:pPr>
        <w:rPr>
          <w:rFonts w:ascii="Times New Roman" w:hAnsi="Times New Roman" w:cs="Times New Roman"/>
          <w:sz w:val="24"/>
          <w:szCs w:val="24"/>
          <w:lang w:val="en-US"/>
        </w:rPr>
      </w:pPr>
      <w:r>
        <w:rPr>
          <w:rFonts w:ascii="Times New Roman" w:hAnsi="Times New Roman" w:cs="Times New Roman"/>
          <w:sz w:val="24"/>
          <w:szCs w:val="24"/>
          <w:lang w:val="en-US"/>
        </w:rPr>
        <w:t>T</w:t>
      </w:r>
      <w:r w:rsidR="00D62E1C" w:rsidRPr="00D62E1C">
        <w:rPr>
          <w:rFonts w:ascii="Times New Roman" w:hAnsi="Times New Roman" w:cs="Times New Roman"/>
          <w:sz w:val="24"/>
          <w:szCs w:val="24"/>
          <w:lang w:val="en-US"/>
        </w:rPr>
        <w:t xml:space="preserve">he necessary ethical considerations were observed </w:t>
      </w:r>
      <w:r>
        <w:rPr>
          <w:rFonts w:ascii="Times New Roman" w:hAnsi="Times New Roman" w:cs="Times New Roman"/>
          <w:sz w:val="24"/>
          <w:szCs w:val="24"/>
          <w:lang w:val="en-US"/>
        </w:rPr>
        <w:t>during the investigative process. A</w:t>
      </w:r>
      <w:r w:rsidR="00D62E1C" w:rsidRPr="00D62E1C">
        <w:rPr>
          <w:rFonts w:ascii="Times New Roman" w:hAnsi="Times New Roman" w:cs="Times New Roman"/>
          <w:sz w:val="24"/>
          <w:szCs w:val="24"/>
          <w:lang w:val="en-US"/>
        </w:rPr>
        <w:t xml:space="preserve">uthorization from the given faculties </w:t>
      </w:r>
      <w:r>
        <w:rPr>
          <w:rFonts w:ascii="Times New Roman" w:hAnsi="Times New Roman" w:cs="Times New Roman"/>
          <w:sz w:val="24"/>
          <w:szCs w:val="24"/>
          <w:lang w:val="en-US"/>
        </w:rPr>
        <w:t xml:space="preserve">was obtained from the </w:t>
      </w:r>
      <w:r w:rsidR="00D62E1C" w:rsidRPr="00D62E1C">
        <w:rPr>
          <w:rFonts w:ascii="Times New Roman" w:hAnsi="Times New Roman" w:cs="Times New Roman"/>
          <w:sz w:val="24"/>
          <w:szCs w:val="24"/>
          <w:lang w:val="en-US"/>
        </w:rPr>
        <w:t>vice deans office for the application of the instrument. The voluntary will of the subjects participating in the study w</w:t>
      </w:r>
      <w:r w:rsidR="006060D0">
        <w:rPr>
          <w:rFonts w:ascii="Times New Roman" w:hAnsi="Times New Roman" w:cs="Times New Roman"/>
          <w:sz w:val="24"/>
          <w:szCs w:val="24"/>
          <w:lang w:val="en-US"/>
        </w:rPr>
        <w:t>ere</w:t>
      </w:r>
      <w:r w:rsidR="00D62E1C" w:rsidRPr="00D62E1C">
        <w:rPr>
          <w:rFonts w:ascii="Times New Roman" w:hAnsi="Times New Roman" w:cs="Times New Roman"/>
          <w:sz w:val="24"/>
          <w:szCs w:val="24"/>
          <w:lang w:val="en-US"/>
        </w:rPr>
        <w:t xml:space="preserve"> respected when requesting informed consent from the respondents and the information obtained was not used in a maleficent way.</w:t>
      </w:r>
    </w:p>
    <w:p w14:paraId="1627E2E1" w14:textId="504070FC" w:rsidR="00181ED4" w:rsidRPr="006060D0" w:rsidRDefault="00181ED4" w:rsidP="00686DB8">
      <w:pPr>
        <w:rPr>
          <w:rFonts w:ascii="Times New Roman" w:hAnsi="Times New Roman" w:cs="Times New Roman"/>
          <w:b/>
          <w:sz w:val="24"/>
          <w:szCs w:val="24"/>
          <w:lang w:val="en-US"/>
        </w:rPr>
      </w:pPr>
      <w:r w:rsidRPr="006060D0">
        <w:rPr>
          <w:rFonts w:ascii="Times New Roman" w:hAnsi="Times New Roman" w:cs="Times New Roman"/>
          <w:b/>
          <w:sz w:val="24"/>
          <w:szCs w:val="24"/>
          <w:lang w:val="en-US"/>
        </w:rPr>
        <w:t>Results</w:t>
      </w:r>
    </w:p>
    <w:p w14:paraId="533B4D29" w14:textId="1F5DA7DD" w:rsidR="00181ED4" w:rsidRDefault="00181ED4" w:rsidP="00686DB8">
      <w:pPr>
        <w:rPr>
          <w:rFonts w:ascii="Times New Roman" w:hAnsi="Times New Roman" w:cs="Times New Roman"/>
          <w:sz w:val="24"/>
          <w:szCs w:val="24"/>
          <w:lang w:val="en-US"/>
        </w:rPr>
      </w:pPr>
      <w:r w:rsidRPr="00181ED4">
        <w:rPr>
          <w:rFonts w:ascii="Times New Roman" w:hAnsi="Times New Roman" w:cs="Times New Roman"/>
          <w:sz w:val="24"/>
          <w:szCs w:val="24"/>
          <w:lang w:val="en-US"/>
        </w:rPr>
        <w:t>The selected instruments (</w:t>
      </w:r>
      <w:r>
        <w:rPr>
          <w:rFonts w:ascii="Times New Roman" w:hAnsi="Times New Roman" w:cs="Times New Roman"/>
          <w:sz w:val="24"/>
          <w:szCs w:val="24"/>
          <w:lang w:val="en-US"/>
        </w:rPr>
        <w:t xml:space="preserve">QEAG </w:t>
      </w:r>
      <w:r w:rsidRPr="00181ED4">
        <w:rPr>
          <w:rFonts w:ascii="Times New Roman" w:hAnsi="Times New Roman" w:cs="Times New Roman"/>
          <w:sz w:val="24"/>
          <w:szCs w:val="24"/>
          <w:lang w:val="en-US"/>
        </w:rPr>
        <w:t>an</w:t>
      </w:r>
      <w:r>
        <w:rPr>
          <w:rFonts w:ascii="Times New Roman" w:hAnsi="Times New Roman" w:cs="Times New Roman"/>
          <w:sz w:val="24"/>
          <w:szCs w:val="24"/>
          <w:lang w:val="en-US"/>
        </w:rPr>
        <w:t>d</w:t>
      </w:r>
      <w:r w:rsidRPr="00181ED4">
        <w:rPr>
          <w:rFonts w:ascii="Times New Roman" w:hAnsi="Times New Roman" w:cs="Times New Roman"/>
          <w:sz w:val="24"/>
          <w:szCs w:val="24"/>
          <w:lang w:val="en-US"/>
        </w:rPr>
        <w:t xml:space="preserve"> </w:t>
      </w:r>
      <w:r w:rsidRPr="00686DB8">
        <w:rPr>
          <w:rFonts w:ascii="Times New Roman" w:hAnsi="Times New Roman" w:cs="Times New Roman"/>
          <w:sz w:val="24"/>
          <w:szCs w:val="24"/>
          <w:lang w:val="en-US"/>
        </w:rPr>
        <w:t>AWSQ</w:t>
      </w:r>
      <w:r>
        <w:rPr>
          <w:rFonts w:ascii="Times New Roman" w:hAnsi="Times New Roman" w:cs="Times New Roman"/>
          <w:sz w:val="24"/>
          <w:szCs w:val="24"/>
          <w:lang w:val="en-US"/>
        </w:rPr>
        <w:t xml:space="preserve">) </w:t>
      </w:r>
      <w:r w:rsidRPr="00181ED4">
        <w:rPr>
          <w:rFonts w:ascii="Times New Roman" w:hAnsi="Times New Roman" w:cs="Times New Roman"/>
          <w:sz w:val="24"/>
          <w:szCs w:val="24"/>
          <w:lang w:val="en-US"/>
        </w:rPr>
        <w:t>were applied to 1235 students of the seven academic majors in the Faculty of Health Sciences, in the National University of Chimborazo. The distribution of the number of individuals by training area depended on the enrollment status in the academic period in which the research was conducted. The largest number of contributing respondents were from the Dentistry major</w:t>
      </w:r>
      <w:r>
        <w:rPr>
          <w:rFonts w:ascii="Times New Roman" w:hAnsi="Times New Roman" w:cs="Times New Roman"/>
          <w:sz w:val="24"/>
          <w:szCs w:val="24"/>
          <w:lang w:val="en-US"/>
        </w:rPr>
        <w:t xml:space="preserve"> </w:t>
      </w:r>
      <w:r w:rsidRPr="00181ED4">
        <w:rPr>
          <w:rFonts w:ascii="Times New Roman" w:hAnsi="Times New Roman" w:cs="Times New Roman"/>
          <w:sz w:val="24"/>
          <w:szCs w:val="24"/>
          <w:lang w:val="en-US"/>
        </w:rPr>
        <w:t>(27.37%), as well as 19.75% of the total of the students who attended the first semester. Whereas Physical Education was the least represented with only 3.08% participation.</w:t>
      </w:r>
    </w:p>
    <w:p w14:paraId="66FD90FD" w14:textId="27AE2A27" w:rsidR="00E02F71" w:rsidRDefault="00E02F71" w:rsidP="00686DB8">
      <w:pPr>
        <w:rPr>
          <w:rFonts w:ascii="Times New Roman" w:hAnsi="Times New Roman" w:cs="Times New Roman"/>
          <w:sz w:val="24"/>
          <w:szCs w:val="24"/>
          <w:lang w:val="en-US"/>
        </w:rPr>
      </w:pPr>
      <w:r w:rsidRPr="00E02F71">
        <w:rPr>
          <w:rFonts w:ascii="Times New Roman" w:hAnsi="Times New Roman" w:cs="Times New Roman"/>
          <w:sz w:val="24"/>
          <w:szCs w:val="24"/>
          <w:lang w:val="en-US"/>
        </w:rPr>
        <w:t xml:space="preserve">The analysis of the data obtained from the application of the </w:t>
      </w:r>
      <w:r w:rsidR="002C33EE">
        <w:rPr>
          <w:rFonts w:ascii="Times New Roman" w:hAnsi="Times New Roman" w:cs="Times New Roman"/>
          <w:sz w:val="24"/>
          <w:szCs w:val="24"/>
          <w:lang w:val="en-US"/>
        </w:rPr>
        <w:t>QEAG</w:t>
      </w:r>
      <w:r w:rsidRPr="00E02F71">
        <w:rPr>
          <w:rFonts w:ascii="Times New Roman" w:hAnsi="Times New Roman" w:cs="Times New Roman"/>
          <w:sz w:val="24"/>
          <w:szCs w:val="24"/>
          <w:lang w:val="en-US"/>
        </w:rPr>
        <w:t xml:space="preserve"> allowed us to observe that the corresponding study dimensions had a homogeneous behavior in almost all</w:t>
      </w:r>
      <w:r w:rsidR="002C33EE">
        <w:rPr>
          <w:rFonts w:ascii="Times New Roman" w:hAnsi="Times New Roman" w:cs="Times New Roman"/>
          <w:sz w:val="24"/>
          <w:szCs w:val="24"/>
          <w:lang w:val="en-US"/>
        </w:rPr>
        <w:t xml:space="preserve"> </w:t>
      </w:r>
      <w:r w:rsidRPr="00E02F71">
        <w:rPr>
          <w:rFonts w:ascii="Times New Roman" w:hAnsi="Times New Roman" w:cs="Times New Roman"/>
          <w:sz w:val="24"/>
          <w:szCs w:val="24"/>
          <w:lang w:val="en-US"/>
        </w:rPr>
        <w:t>the majors. The category "many times" predominated in the case of "</w:t>
      </w:r>
      <w:r w:rsidR="006060D0">
        <w:rPr>
          <w:rFonts w:ascii="Times New Roman" w:hAnsi="Times New Roman" w:cs="Times New Roman"/>
          <w:sz w:val="24"/>
          <w:szCs w:val="24"/>
          <w:lang w:val="en-US"/>
        </w:rPr>
        <w:t>goals</w:t>
      </w:r>
      <w:r w:rsidRPr="00E02F71">
        <w:rPr>
          <w:rFonts w:ascii="Times New Roman" w:hAnsi="Times New Roman" w:cs="Times New Roman"/>
          <w:sz w:val="24"/>
          <w:szCs w:val="24"/>
          <w:lang w:val="en-US"/>
        </w:rPr>
        <w:t xml:space="preserve"> aimed at learning", while for the rest of the types of academic goals researched, "sometimes" was the one that dominated. The exception of that regularity was presented in</w:t>
      </w:r>
      <w:r w:rsidR="002C33EE">
        <w:rPr>
          <w:rFonts w:ascii="Times New Roman" w:hAnsi="Times New Roman" w:cs="Times New Roman"/>
          <w:sz w:val="24"/>
          <w:szCs w:val="24"/>
          <w:lang w:val="en-US"/>
        </w:rPr>
        <w:t xml:space="preserve"> most</w:t>
      </w:r>
      <w:r w:rsidRPr="00E02F71">
        <w:rPr>
          <w:rFonts w:ascii="Times New Roman" w:hAnsi="Times New Roman" w:cs="Times New Roman"/>
          <w:sz w:val="24"/>
          <w:szCs w:val="24"/>
          <w:lang w:val="en-US"/>
        </w:rPr>
        <w:t xml:space="preserve"> Dentistr</w:t>
      </w:r>
      <w:r w:rsidR="002C33EE">
        <w:rPr>
          <w:rFonts w:ascii="Times New Roman" w:hAnsi="Times New Roman" w:cs="Times New Roman"/>
          <w:sz w:val="24"/>
          <w:szCs w:val="24"/>
          <w:lang w:val="en-US"/>
        </w:rPr>
        <w:t>y</w:t>
      </w:r>
      <w:r w:rsidRPr="00E02F71">
        <w:rPr>
          <w:rFonts w:ascii="Times New Roman" w:hAnsi="Times New Roman" w:cs="Times New Roman"/>
          <w:sz w:val="24"/>
          <w:szCs w:val="24"/>
          <w:lang w:val="en-US"/>
        </w:rPr>
        <w:t xml:space="preserve"> students</w:t>
      </w:r>
      <w:r w:rsidR="002C33EE">
        <w:rPr>
          <w:rFonts w:ascii="Times New Roman" w:hAnsi="Times New Roman" w:cs="Times New Roman"/>
          <w:sz w:val="24"/>
          <w:szCs w:val="24"/>
          <w:lang w:val="en-US"/>
        </w:rPr>
        <w:t>, whom</w:t>
      </w:r>
      <w:r w:rsidRPr="00E02F71">
        <w:rPr>
          <w:rFonts w:ascii="Times New Roman" w:hAnsi="Times New Roman" w:cs="Times New Roman"/>
          <w:sz w:val="24"/>
          <w:szCs w:val="24"/>
          <w:lang w:val="en-US"/>
        </w:rPr>
        <w:t xml:space="preserve"> considered "sometimes" to be motivated by goals "aimed at learning".</w:t>
      </w:r>
    </w:p>
    <w:p w14:paraId="24B29D32" w14:textId="35FB2084" w:rsidR="00C620B8" w:rsidRDefault="00C620B8" w:rsidP="00686DB8">
      <w:pPr>
        <w:rPr>
          <w:rFonts w:ascii="Times New Roman" w:hAnsi="Times New Roman" w:cs="Times New Roman"/>
          <w:sz w:val="24"/>
          <w:szCs w:val="24"/>
          <w:lang w:val="en-US"/>
        </w:rPr>
      </w:pPr>
      <w:r w:rsidRPr="00C620B8">
        <w:rPr>
          <w:rFonts w:ascii="Times New Roman" w:hAnsi="Times New Roman" w:cs="Times New Roman"/>
          <w:sz w:val="24"/>
          <w:szCs w:val="24"/>
          <w:lang w:val="en-US"/>
        </w:rPr>
        <w:t>The indicators "competency acquisition" and "interest in the subject" were established to determine the status of the "learning oriented goals" dimension. In addition to what was defined as "decent future work", there was a value of 4.0 (many times) according to the median and the inherent mode of the totality of the study sample (table 1).</w:t>
      </w:r>
    </w:p>
    <w:p w14:paraId="7E1B2D09" w14:textId="62512854" w:rsidR="00C620B8" w:rsidRDefault="00C620B8" w:rsidP="00686DB8">
      <w:pPr>
        <w:rPr>
          <w:rFonts w:ascii="Times New Roman" w:hAnsi="Times New Roman" w:cs="Times New Roman"/>
          <w:sz w:val="24"/>
          <w:szCs w:val="24"/>
          <w:lang w:val="en-US"/>
        </w:rPr>
      </w:pPr>
      <w:r w:rsidRPr="00C620B8">
        <w:rPr>
          <w:rFonts w:ascii="Times New Roman" w:hAnsi="Times New Roman" w:cs="Times New Roman"/>
          <w:sz w:val="24"/>
          <w:szCs w:val="24"/>
          <w:lang w:val="en-US"/>
        </w:rPr>
        <w:t>Table 1. Description of the types of academic achievements of the study sample</w:t>
      </w:r>
    </w:p>
    <w:tbl>
      <w:tblPr>
        <w:tblStyle w:val="PlainTable2"/>
        <w:tblW w:w="9214" w:type="dxa"/>
        <w:jc w:val="center"/>
        <w:tblLook w:val="04A0" w:firstRow="1" w:lastRow="0" w:firstColumn="1" w:lastColumn="0" w:noHBand="0" w:noVBand="1"/>
      </w:tblPr>
      <w:tblGrid>
        <w:gridCol w:w="999"/>
        <w:gridCol w:w="1407"/>
        <w:gridCol w:w="1013"/>
        <w:gridCol w:w="943"/>
        <w:gridCol w:w="1452"/>
        <w:gridCol w:w="1325"/>
        <w:gridCol w:w="853"/>
        <w:gridCol w:w="1360"/>
      </w:tblGrid>
      <w:tr w:rsidR="001143DF" w:rsidRPr="00B64A5D" w14:paraId="0F514D74" w14:textId="77777777" w:rsidTr="00F42DE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3" w:type="dxa"/>
            <w:vMerge w:val="restart"/>
          </w:tcPr>
          <w:p w14:paraId="744134B2" w14:textId="3EA876DF" w:rsidR="00C620B8" w:rsidRPr="00B64A5D" w:rsidRDefault="00C620B8"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Trials n=1235</w:t>
            </w:r>
          </w:p>
        </w:tc>
        <w:tc>
          <w:tcPr>
            <w:tcW w:w="8181" w:type="dxa"/>
            <w:gridSpan w:val="7"/>
            <w:noWrap/>
          </w:tcPr>
          <w:p w14:paraId="048F7A3E" w14:textId="0DC621F6" w:rsidR="00C620B8" w:rsidRPr="00B64A5D" w:rsidRDefault="00C620B8" w:rsidP="00F42DEE">
            <w:pPr>
              <w:ind w:left="-7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Aims:</w:t>
            </w:r>
          </w:p>
        </w:tc>
      </w:tr>
      <w:tr w:rsidR="00C620B8" w:rsidRPr="00B64A5D" w14:paraId="4F8F26ED" w14:textId="77777777" w:rsidTr="00F42D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3" w:type="dxa"/>
            <w:vMerge/>
          </w:tcPr>
          <w:p w14:paraId="3D152612" w14:textId="77777777" w:rsidR="00C620B8" w:rsidRPr="00B64A5D" w:rsidRDefault="00C620B8" w:rsidP="00F42DEE">
            <w:pPr>
              <w:ind w:left="-70"/>
              <w:rPr>
                <w:rFonts w:ascii="Times New Roman" w:eastAsia="Times New Roman" w:hAnsi="Times New Roman" w:cs="Times New Roman"/>
                <w:b w:val="0"/>
                <w:bCs w:val="0"/>
                <w:sz w:val="24"/>
                <w:szCs w:val="24"/>
                <w:lang w:val="en-US" w:eastAsia="es-EC"/>
              </w:rPr>
            </w:pPr>
          </w:p>
        </w:tc>
        <w:tc>
          <w:tcPr>
            <w:tcW w:w="2420" w:type="dxa"/>
            <w:gridSpan w:val="2"/>
            <w:noWrap/>
          </w:tcPr>
          <w:p w14:paraId="6F624C97" w14:textId="51EA901F" w:rsidR="00C620B8" w:rsidRPr="00B64A5D" w:rsidRDefault="00C620B8"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Learning</w:t>
            </w:r>
          </w:p>
        </w:tc>
        <w:tc>
          <w:tcPr>
            <w:tcW w:w="2395" w:type="dxa"/>
            <w:gridSpan w:val="2"/>
            <w:noWrap/>
          </w:tcPr>
          <w:p w14:paraId="292124B5" w14:textId="68AB0AF8"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Self</w:t>
            </w:r>
          </w:p>
        </w:tc>
        <w:tc>
          <w:tcPr>
            <w:tcW w:w="1325" w:type="dxa"/>
            <w:noWrap/>
          </w:tcPr>
          <w:p w14:paraId="778A044C" w14:textId="22B1A43A" w:rsidR="00C620B8" w:rsidRPr="00B64A5D" w:rsidRDefault="00C620B8"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Value</w:t>
            </w:r>
          </w:p>
        </w:tc>
        <w:tc>
          <w:tcPr>
            <w:tcW w:w="2041" w:type="dxa"/>
            <w:gridSpan w:val="2"/>
            <w:noWrap/>
          </w:tcPr>
          <w:p w14:paraId="04D3E1EE" w14:textId="65692C57" w:rsidR="00C620B8" w:rsidRPr="00B64A5D" w:rsidRDefault="00C620B8"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Reward</w:t>
            </w:r>
          </w:p>
        </w:tc>
      </w:tr>
      <w:tr w:rsidR="00C620B8" w:rsidRPr="00B64A5D" w14:paraId="6257C265" w14:textId="77777777" w:rsidTr="00F42DEE">
        <w:trPr>
          <w:trHeight w:val="300"/>
          <w:jc w:val="center"/>
        </w:trPr>
        <w:tc>
          <w:tcPr>
            <w:cnfStyle w:val="001000000000" w:firstRow="0" w:lastRow="0" w:firstColumn="1" w:lastColumn="0" w:oddVBand="0" w:evenVBand="0" w:oddHBand="0" w:evenHBand="0" w:firstRowFirstColumn="0" w:firstRowLastColumn="0" w:lastRowFirstColumn="0" w:lastRowLastColumn="0"/>
            <w:tcW w:w="1033" w:type="dxa"/>
          </w:tcPr>
          <w:p w14:paraId="41D5262B" w14:textId="09160C90" w:rsidR="00C620B8" w:rsidRPr="00B64A5D" w:rsidRDefault="001143DF"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Average</w:t>
            </w:r>
          </w:p>
        </w:tc>
        <w:tc>
          <w:tcPr>
            <w:tcW w:w="2420" w:type="dxa"/>
            <w:gridSpan w:val="2"/>
            <w:noWrap/>
          </w:tcPr>
          <w:p w14:paraId="292611D2" w14:textId="77777777" w:rsidR="00C620B8" w:rsidRPr="00B64A5D" w:rsidRDefault="00C620B8" w:rsidP="00F42DEE">
            <w:pPr>
              <w:autoSpaceDE w:val="0"/>
              <w:autoSpaceDN w:val="0"/>
              <w:adjustRightInd w:val="0"/>
              <w:ind w:left="-70" w:right="90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3.67</w:t>
            </w:r>
          </w:p>
        </w:tc>
        <w:tc>
          <w:tcPr>
            <w:tcW w:w="2395" w:type="dxa"/>
            <w:gridSpan w:val="2"/>
            <w:noWrap/>
          </w:tcPr>
          <w:p w14:paraId="348662BB" w14:textId="77777777" w:rsidR="00C620B8" w:rsidRPr="00B64A5D" w:rsidRDefault="00C620B8" w:rsidP="00F42DEE">
            <w:pPr>
              <w:autoSpaceDE w:val="0"/>
              <w:autoSpaceDN w:val="0"/>
              <w:adjustRightInd w:val="0"/>
              <w:ind w:left="-70" w:right="90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3.20</w:t>
            </w:r>
          </w:p>
        </w:tc>
        <w:tc>
          <w:tcPr>
            <w:tcW w:w="1325" w:type="dxa"/>
            <w:noWrap/>
          </w:tcPr>
          <w:p w14:paraId="228677AD" w14:textId="77777777" w:rsidR="00C620B8" w:rsidRPr="00B64A5D" w:rsidRDefault="00C620B8" w:rsidP="00F42DEE">
            <w:pPr>
              <w:autoSpaceDE w:val="0"/>
              <w:autoSpaceDN w:val="0"/>
              <w:adjustRightInd w:val="0"/>
              <w:ind w:left="-70" w:right="214"/>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3.34</w:t>
            </w:r>
          </w:p>
        </w:tc>
        <w:tc>
          <w:tcPr>
            <w:tcW w:w="2041" w:type="dxa"/>
            <w:gridSpan w:val="2"/>
            <w:noWrap/>
          </w:tcPr>
          <w:p w14:paraId="1BA9F63A" w14:textId="77777777" w:rsidR="00C620B8" w:rsidRPr="00B64A5D" w:rsidRDefault="00C620B8" w:rsidP="00F42DEE">
            <w:pPr>
              <w:autoSpaceDE w:val="0"/>
              <w:autoSpaceDN w:val="0"/>
              <w:adjustRightInd w:val="0"/>
              <w:ind w:left="-70" w:right="65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3.38</w:t>
            </w:r>
          </w:p>
        </w:tc>
      </w:tr>
      <w:tr w:rsidR="00C620B8" w:rsidRPr="00B64A5D" w14:paraId="4109479C" w14:textId="77777777" w:rsidTr="00F42D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33" w:type="dxa"/>
          </w:tcPr>
          <w:p w14:paraId="5BC986CA" w14:textId="7F87B1CA" w:rsidR="00C620B8" w:rsidRPr="00B64A5D" w:rsidRDefault="00C620B8"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lastRenderedPageBreak/>
              <w:t>Median</w:t>
            </w:r>
          </w:p>
        </w:tc>
        <w:tc>
          <w:tcPr>
            <w:tcW w:w="2420" w:type="dxa"/>
            <w:gridSpan w:val="2"/>
            <w:noWrap/>
          </w:tcPr>
          <w:p w14:paraId="5D44D503" w14:textId="77777777" w:rsidR="00C620B8" w:rsidRPr="00B64A5D" w:rsidRDefault="00C620B8" w:rsidP="00F42DEE">
            <w:pPr>
              <w:autoSpaceDE w:val="0"/>
              <w:autoSpaceDN w:val="0"/>
              <w:adjustRightInd w:val="0"/>
              <w:ind w:left="-70" w:right="907"/>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4.00</w:t>
            </w:r>
          </w:p>
        </w:tc>
        <w:tc>
          <w:tcPr>
            <w:tcW w:w="2395" w:type="dxa"/>
            <w:gridSpan w:val="2"/>
            <w:noWrap/>
          </w:tcPr>
          <w:p w14:paraId="34ACC7EE" w14:textId="77777777" w:rsidR="00C620B8" w:rsidRPr="00B64A5D" w:rsidRDefault="00C620B8" w:rsidP="00F42DEE">
            <w:pPr>
              <w:autoSpaceDE w:val="0"/>
              <w:autoSpaceDN w:val="0"/>
              <w:adjustRightInd w:val="0"/>
              <w:ind w:left="-70" w:right="907"/>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3.25</w:t>
            </w:r>
          </w:p>
        </w:tc>
        <w:tc>
          <w:tcPr>
            <w:tcW w:w="1325" w:type="dxa"/>
            <w:noWrap/>
          </w:tcPr>
          <w:p w14:paraId="637EC841" w14:textId="77777777" w:rsidR="00C620B8" w:rsidRPr="00B64A5D" w:rsidRDefault="00C620B8" w:rsidP="00F42DEE">
            <w:pPr>
              <w:autoSpaceDE w:val="0"/>
              <w:autoSpaceDN w:val="0"/>
              <w:adjustRightInd w:val="0"/>
              <w:ind w:left="-70" w:right="214"/>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3.29</w:t>
            </w:r>
          </w:p>
        </w:tc>
        <w:tc>
          <w:tcPr>
            <w:tcW w:w="2041" w:type="dxa"/>
            <w:gridSpan w:val="2"/>
            <w:noWrap/>
          </w:tcPr>
          <w:p w14:paraId="11D55ACE" w14:textId="77777777" w:rsidR="00C620B8" w:rsidRPr="00B64A5D" w:rsidRDefault="00C620B8" w:rsidP="00F42DEE">
            <w:pPr>
              <w:autoSpaceDE w:val="0"/>
              <w:autoSpaceDN w:val="0"/>
              <w:adjustRightInd w:val="0"/>
              <w:ind w:left="-70" w:right="65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3.38</w:t>
            </w:r>
          </w:p>
        </w:tc>
      </w:tr>
      <w:tr w:rsidR="00C620B8" w:rsidRPr="00B64A5D" w14:paraId="725F9AB9" w14:textId="77777777" w:rsidTr="00F42DEE">
        <w:trPr>
          <w:trHeight w:val="300"/>
          <w:jc w:val="center"/>
        </w:trPr>
        <w:tc>
          <w:tcPr>
            <w:cnfStyle w:val="001000000000" w:firstRow="0" w:lastRow="0" w:firstColumn="1" w:lastColumn="0" w:oddVBand="0" w:evenVBand="0" w:oddHBand="0" w:evenHBand="0" w:firstRowFirstColumn="0" w:firstRowLastColumn="0" w:lastRowFirstColumn="0" w:lastRowLastColumn="0"/>
            <w:tcW w:w="1033" w:type="dxa"/>
          </w:tcPr>
          <w:p w14:paraId="1C0CFD0C" w14:textId="44B211D8" w:rsidR="00C620B8" w:rsidRPr="00B64A5D" w:rsidRDefault="00C620B8"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Mod</w:t>
            </w:r>
            <w:r w:rsidR="001143DF" w:rsidRPr="00B64A5D">
              <w:rPr>
                <w:rFonts w:ascii="Times New Roman" w:eastAsia="Times New Roman" w:hAnsi="Times New Roman" w:cs="Times New Roman"/>
                <w:sz w:val="24"/>
                <w:szCs w:val="24"/>
                <w:lang w:val="en-US" w:eastAsia="es-EC"/>
              </w:rPr>
              <w:t>e</w:t>
            </w:r>
          </w:p>
        </w:tc>
        <w:tc>
          <w:tcPr>
            <w:tcW w:w="2420" w:type="dxa"/>
            <w:gridSpan w:val="2"/>
            <w:noWrap/>
          </w:tcPr>
          <w:p w14:paraId="395472E0" w14:textId="77777777" w:rsidR="00C620B8" w:rsidRPr="00B64A5D" w:rsidRDefault="00C620B8" w:rsidP="00F42DEE">
            <w:pPr>
              <w:autoSpaceDE w:val="0"/>
              <w:autoSpaceDN w:val="0"/>
              <w:adjustRightInd w:val="0"/>
              <w:ind w:left="-70" w:right="90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4.00</w:t>
            </w:r>
          </w:p>
        </w:tc>
        <w:tc>
          <w:tcPr>
            <w:tcW w:w="2395" w:type="dxa"/>
            <w:gridSpan w:val="2"/>
            <w:noWrap/>
          </w:tcPr>
          <w:p w14:paraId="77C7DA15" w14:textId="77777777" w:rsidR="00C620B8" w:rsidRPr="00B64A5D" w:rsidRDefault="00C620B8" w:rsidP="00F42DEE">
            <w:pPr>
              <w:autoSpaceDE w:val="0"/>
              <w:autoSpaceDN w:val="0"/>
              <w:adjustRightInd w:val="0"/>
              <w:ind w:left="-70" w:right="90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3.00</w:t>
            </w:r>
          </w:p>
        </w:tc>
        <w:tc>
          <w:tcPr>
            <w:tcW w:w="1325" w:type="dxa"/>
            <w:noWrap/>
          </w:tcPr>
          <w:p w14:paraId="4906483F" w14:textId="77777777" w:rsidR="00C620B8" w:rsidRPr="00B64A5D" w:rsidRDefault="00C620B8" w:rsidP="00F42DEE">
            <w:pPr>
              <w:autoSpaceDE w:val="0"/>
              <w:autoSpaceDN w:val="0"/>
              <w:adjustRightInd w:val="0"/>
              <w:ind w:left="-70" w:right="214"/>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3.00</w:t>
            </w:r>
          </w:p>
        </w:tc>
        <w:tc>
          <w:tcPr>
            <w:tcW w:w="2041" w:type="dxa"/>
            <w:gridSpan w:val="2"/>
            <w:noWrap/>
          </w:tcPr>
          <w:p w14:paraId="110E7307" w14:textId="77777777" w:rsidR="00C620B8" w:rsidRPr="00B64A5D" w:rsidRDefault="00C620B8" w:rsidP="00F42DEE">
            <w:pPr>
              <w:autoSpaceDE w:val="0"/>
              <w:autoSpaceDN w:val="0"/>
              <w:adjustRightInd w:val="0"/>
              <w:ind w:left="-70" w:right="65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64A5D">
              <w:rPr>
                <w:rFonts w:ascii="Times New Roman" w:hAnsi="Times New Roman" w:cs="Times New Roman"/>
                <w:sz w:val="24"/>
                <w:szCs w:val="24"/>
                <w:lang w:val="en-US"/>
              </w:rPr>
              <w:t>3.00</w:t>
            </w:r>
          </w:p>
        </w:tc>
      </w:tr>
      <w:tr w:rsidR="001143DF" w:rsidRPr="00B64A5D" w14:paraId="0EC3F827" w14:textId="77777777" w:rsidTr="001143DF">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033" w:type="dxa"/>
          </w:tcPr>
          <w:p w14:paraId="1C8576CA" w14:textId="77777777" w:rsidR="001143DF" w:rsidRPr="00B64A5D" w:rsidRDefault="001143DF"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Trials</w:t>
            </w:r>
          </w:p>
          <w:p w14:paraId="58BF9A79" w14:textId="1CE51C90" w:rsidR="00C620B8" w:rsidRPr="00B64A5D" w:rsidRDefault="00C620B8" w:rsidP="00F42DEE">
            <w:pPr>
              <w:ind w:left="-70"/>
              <w:rPr>
                <w:rFonts w:ascii="Times New Roman" w:eastAsia="Times New Roman" w:hAnsi="Times New Roman" w:cs="Times New Roman"/>
                <w:b w:val="0"/>
                <w:bCs w:val="0"/>
                <w:sz w:val="24"/>
                <w:szCs w:val="24"/>
                <w:lang w:val="en-US" w:eastAsia="es-EC"/>
              </w:rPr>
            </w:pPr>
            <w:r w:rsidRPr="00B64A5D">
              <w:rPr>
                <w:rFonts w:ascii="Times New Roman" w:eastAsia="Times New Roman" w:hAnsi="Times New Roman" w:cs="Times New Roman"/>
                <w:sz w:val="24"/>
                <w:szCs w:val="24"/>
                <w:lang w:val="en-US" w:eastAsia="es-EC"/>
              </w:rPr>
              <w:t>n=1235</w:t>
            </w:r>
          </w:p>
        </w:tc>
        <w:tc>
          <w:tcPr>
            <w:tcW w:w="1490" w:type="dxa"/>
            <w:hideMark/>
          </w:tcPr>
          <w:p w14:paraId="0F801DAD" w14:textId="77777777"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Skill</w:t>
            </w:r>
          </w:p>
          <w:p w14:paraId="49960A1E" w14:textId="10F38324" w:rsidR="001143DF"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Acquisition</w:t>
            </w:r>
          </w:p>
        </w:tc>
        <w:tc>
          <w:tcPr>
            <w:tcW w:w="930" w:type="dxa"/>
            <w:hideMark/>
          </w:tcPr>
          <w:p w14:paraId="1C0F0BE6" w14:textId="6AC654F3"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Interest in material</w:t>
            </w:r>
          </w:p>
        </w:tc>
        <w:tc>
          <w:tcPr>
            <w:tcW w:w="943" w:type="dxa"/>
            <w:hideMark/>
          </w:tcPr>
          <w:p w14:paraId="084838B8" w14:textId="6FC6B3A9"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Self-</w:t>
            </w:r>
            <w:r w:rsidR="00B64A5D" w:rsidRPr="00B64A5D">
              <w:rPr>
                <w:rFonts w:ascii="Times New Roman" w:eastAsia="Times New Roman" w:hAnsi="Times New Roman" w:cs="Times New Roman"/>
                <w:b/>
                <w:bCs/>
                <w:sz w:val="24"/>
                <w:szCs w:val="24"/>
                <w:lang w:val="en-US" w:eastAsia="es-EC"/>
              </w:rPr>
              <w:t>defense</w:t>
            </w:r>
          </w:p>
        </w:tc>
        <w:tc>
          <w:tcPr>
            <w:tcW w:w="1452" w:type="dxa"/>
            <w:hideMark/>
          </w:tcPr>
          <w:p w14:paraId="3CAEF6FA" w14:textId="77777777" w:rsidR="001143DF"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Self</w:t>
            </w:r>
          </w:p>
          <w:p w14:paraId="55B4AD3B" w14:textId="139D33CF" w:rsidR="001143DF"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enlargement</w:t>
            </w:r>
          </w:p>
        </w:tc>
        <w:tc>
          <w:tcPr>
            <w:tcW w:w="1325" w:type="dxa"/>
            <w:hideMark/>
          </w:tcPr>
          <w:p w14:paraId="0F6687BA" w14:textId="69E04179" w:rsidR="00C620B8" w:rsidRPr="00B64A5D" w:rsidRDefault="001143DF" w:rsidP="00F42DE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Social Value</w:t>
            </w:r>
          </w:p>
        </w:tc>
        <w:tc>
          <w:tcPr>
            <w:tcW w:w="969" w:type="dxa"/>
            <w:hideMark/>
          </w:tcPr>
          <w:p w14:paraId="5EFD2173" w14:textId="77777777"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Future</w:t>
            </w:r>
          </w:p>
          <w:p w14:paraId="6B71B57F" w14:textId="09DDA428" w:rsidR="001143DF"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work</w:t>
            </w:r>
          </w:p>
        </w:tc>
        <w:tc>
          <w:tcPr>
            <w:tcW w:w="1072" w:type="dxa"/>
            <w:hideMark/>
          </w:tcPr>
          <w:p w14:paraId="4922A4B6" w14:textId="77777777" w:rsidR="00C620B8"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 xml:space="preserve">Avoid </w:t>
            </w:r>
          </w:p>
          <w:p w14:paraId="044CBB8E" w14:textId="2D56F047" w:rsidR="001143DF" w:rsidRPr="00B64A5D" w:rsidRDefault="001143DF" w:rsidP="00F42DEE">
            <w:pPr>
              <w:ind w:left="-7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US" w:eastAsia="es-EC"/>
              </w:rPr>
            </w:pPr>
            <w:r w:rsidRPr="00B64A5D">
              <w:rPr>
                <w:rFonts w:ascii="Times New Roman" w:eastAsia="Times New Roman" w:hAnsi="Times New Roman" w:cs="Times New Roman"/>
                <w:b/>
                <w:bCs/>
                <w:sz w:val="24"/>
                <w:szCs w:val="24"/>
                <w:lang w:val="en-US" w:eastAsia="es-EC"/>
              </w:rPr>
              <w:t>punishment</w:t>
            </w:r>
          </w:p>
        </w:tc>
      </w:tr>
    </w:tbl>
    <w:p w14:paraId="5E84F67B" w14:textId="34E74BFD" w:rsidR="00C620B8" w:rsidRDefault="00C620B8" w:rsidP="00686DB8">
      <w:pPr>
        <w:rPr>
          <w:rFonts w:ascii="Times New Roman" w:hAnsi="Times New Roman" w:cs="Times New Roman"/>
          <w:sz w:val="24"/>
          <w:szCs w:val="24"/>
          <w:lang w:val="en-US"/>
        </w:rPr>
      </w:pPr>
    </w:p>
    <w:p w14:paraId="285AEA79" w14:textId="0D60DD1C" w:rsidR="00B64A5D" w:rsidRDefault="00B5366E" w:rsidP="00686DB8">
      <w:pPr>
        <w:rPr>
          <w:rFonts w:ascii="Times New Roman" w:hAnsi="Times New Roman" w:cs="Times New Roman"/>
          <w:sz w:val="24"/>
          <w:szCs w:val="24"/>
          <w:lang w:val="en-US"/>
        </w:rPr>
      </w:pPr>
      <w:r w:rsidRPr="00B5366E">
        <w:rPr>
          <w:rFonts w:ascii="Times New Roman" w:hAnsi="Times New Roman" w:cs="Times New Roman"/>
          <w:sz w:val="24"/>
          <w:szCs w:val="24"/>
          <w:lang w:val="en-US"/>
        </w:rPr>
        <w:t>Table 4. Correlation between the types of autonomous work strategies explored in the study sample</w:t>
      </w:r>
    </w:p>
    <w:tbl>
      <w:tblPr>
        <w:tblStyle w:val="PlainTable2"/>
        <w:tblW w:w="10364" w:type="dxa"/>
        <w:tblInd w:w="-567" w:type="dxa"/>
        <w:tblLook w:val="04A0" w:firstRow="1" w:lastRow="0" w:firstColumn="1" w:lastColumn="0" w:noHBand="0" w:noVBand="1"/>
      </w:tblPr>
      <w:tblGrid>
        <w:gridCol w:w="1646"/>
        <w:gridCol w:w="1284"/>
        <w:gridCol w:w="1530"/>
        <w:gridCol w:w="1637"/>
        <w:gridCol w:w="1422"/>
        <w:gridCol w:w="1369"/>
        <w:gridCol w:w="1476"/>
      </w:tblGrid>
      <w:tr w:rsidR="00B5366E" w:rsidRPr="002422A9" w14:paraId="5FA865A2" w14:textId="77777777" w:rsidTr="00B53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3CEBA98D" w14:textId="1BB9E1D8" w:rsidR="00B5366E" w:rsidRPr="002422A9" w:rsidRDefault="00B5366E" w:rsidP="00F42DEE">
            <w:pPr>
              <w:autoSpaceDE w:val="0"/>
              <w:autoSpaceDN w:val="0"/>
              <w:adjustRightInd w:val="0"/>
              <w:ind w:left="-113"/>
              <w:jc w:val="center"/>
              <w:rPr>
                <w:rFonts w:ascii="Times New Roman" w:hAnsi="Times New Roman" w:cs="Times New Roman"/>
                <w:color w:val="000000"/>
                <w:sz w:val="24"/>
                <w:szCs w:val="24"/>
                <w:lang w:val="en-US"/>
              </w:rPr>
            </w:pPr>
            <w:r w:rsidRPr="002422A9">
              <w:rPr>
                <w:rFonts w:ascii="Times New Roman" w:hAnsi="Times New Roman" w:cs="Times New Roman"/>
                <w:sz w:val="24"/>
                <w:szCs w:val="24"/>
                <w:lang w:val="en-US"/>
              </w:rPr>
              <w:t>Strategies for</w:t>
            </w:r>
            <w:r w:rsidRPr="002422A9">
              <w:rPr>
                <w:rFonts w:ascii="Times New Roman" w:hAnsi="Times New Roman" w:cs="Times New Roman"/>
                <w:b w:val="0"/>
                <w:sz w:val="24"/>
                <w:szCs w:val="24"/>
                <w:lang w:val="en-US"/>
              </w:rPr>
              <w:t xml:space="preserve">: </w:t>
            </w:r>
            <w:r w:rsidRPr="002422A9">
              <w:rPr>
                <w:rFonts w:ascii="Times New Roman" w:hAnsi="Times New Roman" w:cs="Times New Roman"/>
                <w:sz w:val="24"/>
                <w:szCs w:val="24"/>
                <w:lang w:val="en-US"/>
              </w:rPr>
              <w:t>(n=1235)</w:t>
            </w:r>
          </w:p>
        </w:tc>
        <w:tc>
          <w:tcPr>
            <w:tcW w:w="1284" w:type="dxa"/>
            <w:vAlign w:val="center"/>
          </w:tcPr>
          <w:p w14:paraId="37D45DF7" w14:textId="1C92E061"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Extension</w:t>
            </w:r>
          </w:p>
        </w:tc>
        <w:tc>
          <w:tcPr>
            <w:tcW w:w="1530" w:type="dxa"/>
            <w:vAlign w:val="center"/>
          </w:tcPr>
          <w:p w14:paraId="69259B1A" w14:textId="58CA1DEF"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Collaboration</w:t>
            </w:r>
          </w:p>
        </w:tc>
        <w:tc>
          <w:tcPr>
            <w:tcW w:w="1637" w:type="dxa"/>
            <w:vAlign w:val="center"/>
          </w:tcPr>
          <w:p w14:paraId="62BC347F" w14:textId="52FC3C8C"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Conceptual structuring</w:t>
            </w:r>
          </w:p>
        </w:tc>
        <w:tc>
          <w:tcPr>
            <w:tcW w:w="1422" w:type="dxa"/>
            <w:vAlign w:val="center"/>
          </w:tcPr>
          <w:p w14:paraId="6936D63C" w14:textId="34176800"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Planning</w:t>
            </w:r>
          </w:p>
        </w:tc>
        <w:tc>
          <w:tcPr>
            <w:tcW w:w="1369" w:type="dxa"/>
            <w:vAlign w:val="center"/>
          </w:tcPr>
          <w:p w14:paraId="77C59D6D" w14:textId="05A88743"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Preparation for exams</w:t>
            </w:r>
          </w:p>
        </w:tc>
        <w:tc>
          <w:tcPr>
            <w:tcW w:w="1476" w:type="dxa"/>
            <w:vAlign w:val="center"/>
          </w:tcPr>
          <w:p w14:paraId="7335526F" w14:textId="6179DC32" w:rsidR="00B5366E" w:rsidRPr="002422A9" w:rsidRDefault="00B5366E" w:rsidP="00F42DEE">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422A9">
              <w:rPr>
                <w:rFonts w:ascii="Times New Roman" w:hAnsi="Times New Roman" w:cs="Times New Roman"/>
                <w:sz w:val="24"/>
                <w:szCs w:val="24"/>
                <w:lang w:val="en-US"/>
              </w:rPr>
              <w:t>Participation</w:t>
            </w:r>
          </w:p>
        </w:tc>
      </w:tr>
      <w:tr w:rsidR="00B5366E" w:rsidRPr="002422A9" w14:paraId="502504D9" w14:textId="77777777" w:rsidTr="00B5366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5A4FD4B0" w14:textId="5B8BC4F2"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color w:val="000000"/>
                <w:sz w:val="24"/>
                <w:szCs w:val="24"/>
                <w:lang w:val="en-US"/>
              </w:rPr>
              <w:t>Extension</w:t>
            </w:r>
          </w:p>
        </w:tc>
        <w:tc>
          <w:tcPr>
            <w:tcW w:w="1284" w:type="dxa"/>
            <w:vAlign w:val="center"/>
          </w:tcPr>
          <w:p w14:paraId="439F3FCD"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c>
          <w:tcPr>
            <w:tcW w:w="1530" w:type="dxa"/>
            <w:vAlign w:val="center"/>
          </w:tcPr>
          <w:p w14:paraId="4F5F6979"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0.665</w:t>
            </w:r>
            <w:r w:rsidRPr="002422A9">
              <w:rPr>
                <w:rFonts w:ascii="Times New Roman" w:hAnsi="Times New Roman" w:cs="Times New Roman"/>
                <w:color w:val="000000"/>
                <w:sz w:val="24"/>
                <w:szCs w:val="24"/>
                <w:vertAlign w:val="superscript"/>
                <w:lang w:val="en-US"/>
              </w:rPr>
              <w:t>**</w:t>
            </w:r>
          </w:p>
        </w:tc>
        <w:tc>
          <w:tcPr>
            <w:tcW w:w="1637" w:type="dxa"/>
            <w:vAlign w:val="center"/>
          </w:tcPr>
          <w:p w14:paraId="1A5E242C"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0.602</w:t>
            </w:r>
            <w:r w:rsidRPr="002422A9">
              <w:rPr>
                <w:rFonts w:ascii="Times New Roman" w:hAnsi="Times New Roman" w:cs="Times New Roman"/>
                <w:color w:val="000000"/>
                <w:sz w:val="24"/>
                <w:szCs w:val="24"/>
                <w:vertAlign w:val="superscript"/>
                <w:lang w:val="en-US"/>
              </w:rPr>
              <w:t>**</w:t>
            </w:r>
          </w:p>
        </w:tc>
        <w:tc>
          <w:tcPr>
            <w:tcW w:w="1422" w:type="dxa"/>
            <w:vAlign w:val="center"/>
          </w:tcPr>
          <w:p w14:paraId="289E5DF7"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0.608</w:t>
            </w:r>
            <w:r w:rsidRPr="002422A9">
              <w:rPr>
                <w:rFonts w:ascii="Times New Roman" w:hAnsi="Times New Roman" w:cs="Times New Roman"/>
                <w:color w:val="000000"/>
                <w:sz w:val="24"/>
                <w:szCs w:val="24"/>
                <w:vertAlign w:val="superscript"/>
                <w:lang w:val="en-US"/>
              </w:rPr>
              <w:t>**</w:t>
            </w:r>
          </w:p>
        </w:tc>
        <w:tc>
          <w:tcPr>
            <w:tcW w:w="1369" w:type="dxa"/>
            <w:vAlign w:val="center"/>
          </w:tcPr>
          <w:p w14:paraId="5E878620"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0.583</w:t>
            </w:r>
            <w:r w:rsidRPr="002422A9">
              <w:rPr>
                <w:rFonts w:ascii="Times New Roman" w:hAnsi="Times New Roman" w:cs="Times New Roman"/>
                <w:color w:val="000000"/>
                <w:sz w:val="24"/>
                <w:szCs w:val="24"/>
                <w:vertAlign w:val="superscript"/>
                <w:lang w:val="en-US"/>
              </w:rPr>
              <w:t>**</w:t>
            </w:r>
          </w:p>
        </w:tc>
        <w:tc>
          <w:tcPr>
            <w:tcW w:w="1476" w:type="dxa"/>
            <w:vAlign w:val="center"/>
          </w:tcPr>
          <w:p w14:paraId="103158B6"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0.591</w:t>
            </w:r>
            <w:r w:rsidRPr="002422A9">
              <w:rPr>
                <w:rFonts w:ascii="Times New Roman" w:hAnsi="Times New Roman" w:cs="Times New Roman"/>
                <w:color w:val="000000"/>
                <w:sz w:val="24"/>
                <w:szCs w:val="24"/>
                <w:vertAlign w:val="superscript"/>
                <w:lang w:val="en-US"/>
              </w:rPr>
              <w:t>**</w:t>
            </w:r>
          </w:p>
        </w:tc>
      </w:tr>
      <w:tr w:rsidR="00B5366E" w:rsidRPr="002422A9" w14:paraId="62DA7E6D" w14:textId="77777777" w:rsidTr="00B5366E">
        <w:trPr>
          <w:trHeight w:val="436"/>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3737E4A8" w14:textId="0F4FD8F7"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color w:val="000000"/>
                <w:sz w:val="24"/>
                <w:szCs w:val="24"/>
                <w:lang w:val="en-US"/>
              </w:rPr>
              <w:t>Collaboration</w:t>
            </w:r>
          </w:p>
        </w:tc>
        <w:tc>
          <w:tcPr>
            <w:tcW w:w="1284" w:type="dxa"/>
            <w:vAlign w:val="center"/>
          </w:tcPr>
          <w:p w14:paraId="764BC31D"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0.665</w:t>
            </w:r>
            <w:r w:rsidRPr="002422A9">
              <w:rPr>
                <w:rFonts w:ascii="Times New Roman" w:hAnsi="Times New Roman" w:cs="Times New Roman"/>
                <w:color w:val="000000"/>
                <w:sz w:val="24"/>
                <w:szCs w:val="24"/>
                <w:vertAlign w:val="superscript"/>
                <w:lang w:val="en-US"/>
              </w:rPr>
              <w:t>**</w:t>
            </w:r>
          </w:p>
        </w:tc>
        <w:tc>
          <w:tcPr>
            <w:tcW w:w="1530" w:type="dxa"/>
            <w:vAlign w:val="center"/>
          </w:tcPr>
          <w:p w14:paraId="538937AE"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c>
          <w:tcPr>
            <w:tcW w:w="1637" w:type="dxa"/>
            <w:vAlign w:val="center"/>
          </w:tcPr>
          <w:p w14:paraId="5229E9B3"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0.622</w:t>
            </w:r>
            <w:r w:rsidRPr="002422A9">
              <w:rPr>
                <w:rFonts w:ascii="Times New Roman" w:hAnsi="Times New Roman" w:cs="Times New Roman"/>
                <w:color w:val="000000"/>
                <w:sz w:val="24"/>
                <w:szCs w:val="24"/>
                <w:vertAlign w:val="superscript"/>
                <w:lang w:val="en-US"/>
              </w:rPr>
              <w:t>**</w:t>
            </w:r>
          </w:p>
        </w:tc>
        <w:tc>
          <w:tcPr>
            <w:tcW w:w="1422" w:type="dxa"/>
            <w:vAlign w:val="center"/>
          </w:tcPr>
          <w:p w14:paraId="2CF7498D"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0.632</w:t>
            </w:r>
            <w:r w:rsidRPr="002422A9">
              <w:rPr>
                <w:rFonts w:ascii="Times New Roman" w:hAnsi="Times New Roman" w:cs="Times New Roman"/>
                <w:color w:val="000000"/>
                <w:sz w:val="24"/>
                <w:szCs w:val="24"/>
                <w:vertAlign w:val="superscript"/>
                <w:lang w:val="en-US"/>
              </w:rPr>
              <w:t>**</w:t>
            </w:r>
          </w:p>
        </w:tc>
        <w:tc>
          <w:tcPr>
            <w:tcW w:w="1369" w:type="dxa"/>
            <w:vAlign w:val="center"/>
          </w:tcPr>
          <w:p w14:paraId="25CD71AD"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0.570</w:t>
            </w:r>
            <w:r w:rsidRPr="002422A9">
              <w:rPr>
                <w:rFonts w:ascii="Times New Roman" w:hAnsi="Times New Roman" w:cs="Times New Roman"/>
                <w:color w:val="000000"/>
                <w:sz w:val="24"/>
                <w:szCs w:val="24"/>
                <w:vertAlign w:val="superscript"/>
                <w:lang w:val="en-US"/>
              </w:rPr>
              <w:t>**</w:t>
            </w:r>
          </w:p>
        </w:tc>
        <w:tc>
          <w:tcPr>
            <w:tcW w:w="1476" w:type="dxa"/>
            <w:vAlign w:val="center"/>
          </w:tcPr>
          <w:p w14:paraId="558ED050"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0.597</w:t>
            </w:r>
            <w:r w:rsidRPr="002422A9">
              <w:rPr>
                <w:rFonts w:ascii="Times New Roman" w:hAnsi="Times New Roman" w:cs="Times New Roman"/>
                <w:color w:val="000000"/>
                <w:sz w:val="24"/>
                <w:szCs w:val="24"/>
                <w:vertAlign w:val="superscript"/>
                <w:lang w:val="en-US"/>
              </w:rPr>
              <w:t>**</w:t>
            </w:r>
          </w:p>
        </w:tc>
      </w:tr>
      <w:tr w:rsidR="00B5366E" w:rsidRPr="002422A9" w14:paraId="49DF8320" w14:textId="77777777" w:rsidTr="00B5366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733114FB" w14:textId="3E9B43DB"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color w:val="000000"/>
                <w:sz w:val="24"/>
                <w:szCs w:val="24"/>
                <w:lang w:val="en-US"/>
              </w:rPr>
              <w:t>Conceptual structuring</w:t>
            </w:r>
          </w:p>
        </w:tc>
        <w:tc>
          <w:tcPr>
            <w:tcW w:w="1284" w:type="dxa"/>
            <w:vAlign w:val="center"/>
          </w:tcPr>
          <w:p w14:paraId="3CFEC4EA"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0.602</w:t>
            </w:r>
            <w:r w:rsidRPr="002422A9">
              <w:rPr>
                <w:rFonts w:ascii="Times New Roman" w:hAnsi="Times New Roman" w:cs="Times New Roman"/>
                <w:color w:val="000000"/>
                <w:sz w:val="24"/>
                <w:szCs w:val="24"/>
                <w:vertAlign w:val="superscript"/>
                <w:lang w:val="en-US"/>
              </w:rPr>
              <w:t>**</w:t>
            </w:r>
          </w:p>
        </w:tc>
        <w:tc>
          <w:tcPr>
            <w:tcW w:w="1530" w:type="dxa"/>
            <w:vAlign w:val="center"/>
          </w:tcPr>
          <w:p w14:paraId="14D515DC"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0.622</w:t>
            </w:r>
            <w:r w:rsidRPr="002422A9">
              <w:rPr>
                <w:rFonts w:ascii="Times New Roman" w:hAnsi="Times New Roman" w:cs="Times New Roman"/>
                <w:color w:val="000000"/>
                <w:sz w:val="24"/>
                <w:szCs w:val="24"/>
                <w:vertAlign w:val="superscript"/>
                <w:lang w:val="en-US"/>
              </w:rPr>
              <w:t>**</w:t>
            </w:r>
          </w:p>
        </w:tc>
        <w:tc>
          <w:tcPr>
            <w:tcW w:w="1637" w:type="dxa"/>
            <w:vAlign w:val="center"/>
          </w:tcPr>
          <w:p w14:paraId="4DB44C06"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c>
          <w:tcPr>
            <w:tcW w:w="1422" w:type="dxa"/>
            <w:vAlign w:val="center"/>
          </w:tcPr>
          <w:p w14:paraId="18D55760"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0.621</w:t>
            </w:r>
            <w:r w:rsidRPr="002422A9">
              <w:rPr>
                <w:rFonts w:ascii="Times New Roman" w:hAnsi="Times New Roman" w:cs="Times New Roman"/>
                <w:color w:val="000000"/>
                <w:sz w:val="24"/>
                <w:szCs w:val="24"/>
                <w:vertAlign w:val="superscript"/>
                <w:lang w:val="en-US"/>
              </w:rPr>
              <w:t>**</w:t>
            </w:r>
          </w:p>
        </w:tc>
        <w:tc>
          <w:tcPr>
            <w:tcW w:w="1369" w:type="dxa"/>
            <w:vAlign w:val="center"/>
          </w:tcPr>
          <w:p w14:paraId="4B85C582"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0.572</w:t>
            </w:r>
            <w:r w:rsidRPr="002422A9">
              <w:rPr>
                <w:rFonts w:ascii="Times New Roman" w:hAnsi="Times New Roman" w:cs="Times New Roman"/>
                <w:color w:val="000000"/>
                <w:sz w:val="24"/>
                <w:szCs w:val="24"/>
                <w:vertAlign w:val="superscript"/>
                <w:lang w:val="en-US"/>
              </w:rPr>
              <w:t>**</w:t>
            </w:r>
          </w:p>
        </w:tc>
        <w:tc>
          <w:tcPr>
            <w:tcW w:w="1476" w:type="dxa"/>
            <w:vAlign w:val="center"/>
          </w:tcPr>
          <w:p w14:paraId="65F6D894"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0.585</w:t>
            </w:r>
            <w:r w:rsidRPr="002422A9">
              <w:rPr>
                <w:rFonts w:ascii="Times New Roman" w:hAnsi="Times New Roman" w:cs="Times New Roman"/>
                <w:color w:val="000000"/>
                <w:sz w:val="24"/>
                <w:szCs w:val="24"/>
                <w:vertAlign w:val="superscript"/>
                <w:lang w:val="en-US"/>
              </w:rPr>
              <w:t>**</w:t>
            </w:r>
          </w:p>
        </w:tc>
      </w:tr>
      <w:tr w:rsidR="00B5366E" w:rsidRPr="002422A9" w14:paraId="18CE9DD0" w14:textId="77777777" w:rsidTr="00B5366E">
        <w:trPr>
          <w:trHeight w:val="364"/>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1EB648E8" w14:textId="287333B8"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sz w:val="24"/>
                <w:szCs w:val="24"/>
                <w:lang w:val="en-US"/>
              </w:rPr>
              <w:t>Planning</w:t>
            </w:r>
          </w:p>
        </w:tc>
        <w:tc>
          <w:tcPr>
            <w:tcW w:w="1284" w:type="dxa"/>
            <w:vAlign w:val="center"/>
          </w:tcPr>
          <w:p w14:paraId="52179D6F"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0.608</w:t>
            </w:r>
            <w:r w:rsidRPr="002422A9">
              <w:rPr>
                <w:rFonts w:ascii="Times New Roman" w:hAnsi="Times New Roman" w:cs="Times New Roman"/>
                <w:color w:val="000000"/>
                <w:sz w:val="24"/>
                <w:szCs w:val="24"/>
                <w:vertAlign w:val="superscript"/>
                <w:lang w:val="en-US"/>
              </w:rPr>
              <w:t>**</w:t>
            </w:r>
          </w:p>
        </w:tc>
        <w:tc>
          <w:tcPr>
            <w:tcW w:w="1530" w:type="dxa"/>
            <w:vAlign w:val="center"/>
          </w:tcPr>
          <w:p w14:paraId="6EFF8B28"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0.632</w:t>
            </w:r>
            <w:r w:rsidRPr="002422A9">
              <w:rPr>
                <w:rFonts w:ascii="Times New Roman" w:hAnsi="Times New Roman" w:cs="Times New Roman"/>
                <w:color w:val="000000"/>
                <w:sz w:val="24"/>
                <w:szCs w:val="24"/>
                <w:vertAlign w:val="superscript"/>
                <w:lang w:val="en-US"/>
              </w:rPr>
              <w:t>**</w:t>
            </w:r>
          </w:p>
        </w:tc>
        <w:tc>
          <w:tcPr>
            <w:tcW w:w="1637" w:type="dxa"/>
            <w:vAlign w:val="center"/>
          </w:tcPr>
          <w:p w14:paraId="5C8A6395"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0.621</w:t>
            </w:r>
            <w:r w:rsidRPr="002422A9">
              <w:rPr>
                <w:rFonts w:ascii="Times New Roman" w:hAnsi="Times New Roman" w:cs="Times New Roman"/>
                <w:color w:val="000000"/>
                <w:sz w:val="24"/>
                <w:szCs w:val="24"/>
                <w:vertAlign w:val="superscript"/>
                <w:lang w:val="en-US"/>
              </w:rPr>
              <w:t>**</w:t>
            </w:r>
          </w:p>
        </w:tc>
        <w:tc>
          <w:tcPr>
            <w:tcW w:w="1422" w:type="dxa"/>
            <w:vAlign w:val="center"/>
          </w:tcPr>
          <w:p w14:paraId="441B3441"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c>
          <w:tcPr>
            <w:tcW w:w="1369" w:type="dxa"/>
            <w:vAlign w:val="center"/>
          </w:tcPr>
          <w:p w14:paraId="62B07562"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0.587</w:t>
            </w:r>
            <w:r w:rsidRPr="002422A9">
              <w:rPr>
                <w:rFonts w:ascii="Times New Roman" w:hAnsi="Times New Roman" w:cs="Times New Roman"/>
                <w:color w:val="000000"/>
                <w:sz w:val="24"/>
                <w:szCs w:val="24"/>
                <w:vertAlign w:val="superscript"/>
                <w:lang w:val="en-US"/>
              </w:rPr>
              <w:t>**</w:t>
            </w:r>
          </w:p>
        </w:tc>
        <w:tc>
          <w:tcPr>
            <w:tcW w:w="1476" w:type="dxa"/>
            <w:vAlign w:val="center"/>
          </w:tcPr>
          <w:p w14:paraId="26940D4A"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0.526</w:t>
            </w:r>
            <w:r w:rsidRPr="002422A9">
              <w:rPr>
                <w:rFonts w:ascii="Times New Roman" w:hAnsi="Times New Roman" w:cs="Times New Roman"/>
                <w:color w:val="000000"/>
                <w:sz w:val="24"/>
                <w:szCs w:val="24"/>
                <w:vertAlign w:val="superscript"/>
                <w:lang w:val="en-US"/>
              </w:rPr>
              <w:t>**</w:t>
            </w:r>
          </w:p>
        </w:tc>
      </w:tr>
      <w:tr w:rsidR="00B5366E" w:rsidRPr="002422A9" w14:paraId="2DDB9FA9" w14:textId="77777777" w:rsidTr="00B5366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4988E471" w14:textId="03A9511B"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sz w:val="24"/>
                <w:szCs w:val="24"/>
                <w:lang w:val="en-US"/>
              </w:rPr>
              <w:t>Preparation for exams</w:t>
            </w:r>
          </w:p>
        </w:tc>
        <w:tc>
          <w:tcPr>
            <w:tcW w:w="1284" w:type="dxa"/>
            <w:vAlign w:val="center"/>
          </w:tcPr>
          <w:p w14:paraId="23B09F84"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0.583</w:t>
            </w:r>
            <w:r w:rsidRPr="002422A9">
              <w:rPr>
                <w:rFonts w:ascii="Times New Roman" w:hAnsi="Times New Roman" w:cs="Times New Roman"/>
                <w:color w:val="000000"/>
                <w:sz w:val="24"/>
                <w:szCs w:val="24"/>
                <w:vertAlign w:val="superscript"/>
                <w:lang w:val="en-US"/>
              </w:rPr>
              <w:t>**</w:t>
            </w:r>
          </w:p>
        </w:tc>
        <w:tc>
          <w:tcPr>
            <w:tcW w:w="1530" w:type="dxa"/>
            <w:vAlign w:val="center"/>
          </w:tcPr>
          <w:p w14:paraId="49E443F9"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0.570</w:t>
            </w:r>
            <w:r w:rsidRPr="002422A9">
              <w:rPr>
                <w:rFonts w:ascii="Times New Roman" w:hAnsi="Times New Roman" w:cs="Times New Roman"/>
                <w:color w:val="000000"/>
                <w:sz w:val="24"/>
                <w:szCs w:val="24"/>
                <w:vertAlign w:val="superscript"/>
                <w:lang w:val="en-US"/>
              </w:rPr>
              <w:t>**</w:t>
            </w:r>
          </w:p>
        </w:tc>
        <w:tc>
          <w:tcPr>
            <w:tcW w:w="1637" w:type="dxa"/>
            <w:vAlign w:val="center"/>
          </w:tcPr>
          <w:p w14:paraId="55108A10"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0.572</w:t>
            </w:r>
            <w:r w:rsidRPr="002422A9">
              <w:rPr>
                <w:rFonts w:ascii="Times New Roman" w:hAnsi="Times New Roman" w:cs="Times New Roman"/>
                <w:color w:val="000000"/>
                <w:sz w:val="24"/>
                <w:szCs w:val="24"/>
                <w:vertAlign w:val="superscript"/>
                <w:lang w:val="en-US"/>
              </w:rPr>
              <w:t>**</w:t>
            </w:r>
          </w:p>
        </w:tc>
        <w:tc>
          <w:tcPr>
            <w:tcW w:w="1422" w:type="dxa"/>
            <w:vAlign w:val="center"/>
          </w:tcPr>
          <w:p w14:paraId="768D6326"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0.587</w:t>
            </w:r>
            <w:r w:rsidRPr="002422A9">
              <w:rPr>
                <w:rFonts w:ascii="Times New Roman" w:hAnsi="Times New Roman" w:cs="Times New Roman"/>
                <w:color w:val="000000"/>
                <w:sz w:val="24"/>
                <w:szCs w:val="24"/>
                <w:vertAlign w:val="superscript"/>
                <w:lang w:val="en-US"/>
              </w:rPr>
              <w:t>**</w:t>
            </w:r>
          </w:p>
        </w:tc>
        <w:tc>
          <w:tcPr>
            <w:tcW w:w="1369" w:type="dxa"/>
            <w:vAlign w:val="center"/>
          </w:tcPr>
          <w:p w14:paraId="292192C1"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c>
          <w:tcPr>
            <w:tcW w:w="1476" w:type="dxa"/>
            <w:vAlign w:val="center"/>
          </w:tcPr>
          <w:p w14:paraId="0807C9F6" w14:textId="77777777" w:rsidR="00B5366E" w:rsidRPr="002422A9" w:rsidRDefault="00B5366E" w:rsidP="00F42DEE">
            <w:pPr>
              <w:autoSpaceDE w:val="0"/>
              <w:autoSpaceDN w:val="0"/>
              <w:adjustRightInd w:val="0"/>
              <w:ind w:left="-113" w:right="17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0.572</w:t>
            </w:r>
            <w:r w:rsidRPr="002422A9">
              <w:rPr>
                <w:rFonts w:ascii="Times New Roman" w:hAnsi="Times New Roman" w:cs="Times New Roman"/>
                <w:color w:val="000000"/>
                <w:sz w:val="24"/>
                <w:szCs w:val="24"/>
                <w:vertAlign w:val="superscript"/>
                <w:lang w:val="en-US"/>
              </w:rPr>
              <w:t>**</w:t>
            </w:r>
          </w:p>
        </w:tc>
      </w:tr>
      <w:tr w:rsidR="00B5366E" w:rsidRPr="002422A9" w14:paraId="4333D8C9" w14:textId="77777777" w:rsidTr="00B5366E">
        <w:trPr>
          <w:trHeight w:val="362"/>
        </w:trPr>
        <w:tc>
          <w:tcPr>
            <w:cnfStyle w:val="001000000000" w:firstRow="0" w:lastRow="0" w:firstColumn="1" w:lastColumn="0" w:oddVBand="0" w:evenVBand="0" w:oddHBand="0" w:evenHBand="0" w:firstRowFirstColumn="0" w:firstRowLastColumn="0" w:lastRowFirstColumn="0" w:lastRowLastColumn="0"/>
            <w:tcW w:w="1646" w:type="dxa"/>
            <w:vAlign w:val="center"/>
          </w:tcPr>
          <w:p w14:paraId="5D88E033" w14:textId="3579478C" w:rsidR="00B5366E" w:rsidRPr="002422A9" w:rsidRDefault="00B5366E" w:rsidP="00F42DEE">
            <w:pPr>
              <w:autoSpaceDE w:val="0"/>
              <w:autoSpaceDN w:val="0"/>
              <w:adjustRightInd w:val="0"/>
              <w:ind w:left="-113"/>
              <w:rPr>
                <w:rFonts w:ascii="Times New Roman" w:hAnsi="Times New Roman" w:cs="Times New Roman"/>
                <w:b w:val="0"/>
                <w:color w:val="000000"/>
                <w:sz w:val="24"/>
                <w:szCs w:val="24"/>
                <w:lang w:val="en-US"/>
              </w:rPr>
            </w:pPr>
            <w:r w:rsidRPr="002422A9">
              <w:rPr>
                <w:rFonts w:ascii="Times New Roman" w:hAnsi="Times New Roman" w:cs="Times New Roman"/>
                <w:sz w:val="24"/>
                <w:szCs w:val="24"/>
                <w:lang w:val="en-US"/>
              </w:rPr>
              <w:t>Participation</w:t>
            </w:r>
          </w:p>
        </w:tc>
        <w:tc>
          <w:tcPr>
            <w:tcW w:w="1284" w:type="dxa"/>
            <w:vAlign w:val="center"/>
          </w:tcPr>
          <w:p w14:paraId="670DDB24"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0.591</w:t>
            </w:r>
            <w:r w:rsidRPr="002422A9">
              <w:rPr>
                <w:rFonts w:ascii="Times New Roman" w:hAnsi="Times New Roman" w:cs="Times New Roman"/>
                <w:color w:val="000000"/>
                <w:sz w:val="24"/>
                <w:szCs w:val="24"/>
                <w:vertAlign w:val="superscript"/>
                <w:lang w:val="en-US"/>
              </w:rPr>
              <w:t>**</w:t>
            </w:r>
          </w:p>
        </w:tc>
        <w:tc>
          <w:tcPr>
            <w:tcW w:w="1530" w:type="dxa"/>
            <w:vAlign w:val="center"/>
          </w:tcPr>
          <w:p w14:paraId="199CF362"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0.597</w:t>
            </w:r>
            <w:r w:rsidRPr="002422A9">
              <w:rPr>
                <w:rFonts w:ascii="Times New Roman" w:hAnsi="Times New Roman" w:cs="Times New Roman"/>
                <w:color w:val="000000"/>
                <w:sz w:val="24"/>
                <w:szCs w:val="24"/>
                <w:vertAlign w:val="superscript"/>
                <w:lang w:val="en-US"/>
              </w:rPr>
              <w:t>**</w:t>
            </w:r>
          </w:p>
        </w:tc>
        <w:tc>
          <w:tcPr>
            <w:tcW w:w="1637" w:type="dxa"/>
            <w:vAlign w:val="center"/>
          </w:tcPr>
          <w:p w14:paraId="3531C162"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0.585</w:t>
            </w:r>
            <w:r w:rsidRPr="002422A9">
              <w:rPr>
                <w:rFonts w:ascii="Times New Roman" w:hAnsi="Times New Roman" w:cs="Times New Roman"/>
                <w:color w:val="000000"/>
                <w:sz w:val="24"/>
                <w:szCs w:val="24"/>
                <w:vertAlign w:val="superscript"/>
                <w:lang w:val="en-US"/>
              </w:rPr>
              <w:t>**</w:t>
            </w:r>
          </w:p>
        </w:tc>
        <w:tc>
          <w:tcPr>
            <w:tcW w:w="1422" w:type="dxa"/>
            <w:vAlign w:val="center"/>
          </w:tcPr>
          <w:p w14:paraId="50D48AB7"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0.526</w:t>
            </w:r>
            <w:r w:rsidRPr="002422A9">
              <w:rPr>
                <w:rFonts w:ascii="Times New Roman" w:hAnsi="Times New Roman" w:cs="Times New Roman"/>
                <w:color w:val="000000"/>
                <w:sz w:val="24"/>
                <w:szCs w:val="24"/>
                <w:vertAlign w:val="superscript"/>
                <w:lang w:val="en-US"/>
              </w:rPr>
              <w:t>**</w:t>
            </w:r>
          </w:p>
        </w:tc>
        <w:tc>
          <w:tcPr>
            <w:tcW w:w="1369" w:type="dxa"/>
            <w:vAlign w:val="center"/>
          </w:tcPr>
          <w:p w14:paraId="04DA7E94"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0.572</w:t>
            </w:r>
            <w:r w:rsidRPr="002422A9">
              <w:rPr>
                <w:rFonts w:ascii="Times New Roman" w:hAnsi="Times New Roman" w:cs="Times New Roman"/>
                <w:color w:val="000000"/>
                <w:sz w:val="24"/>
                <w:szCs w:val="24"/>
                <w:vertAlign w:val="superscript"/>
                <w:lang w:val="en-US"/>
              </w:rPr>
              <w:t>**</w:t>
            </w:r>
          </w:p>
        </w:tc>
        <w:tc>
          <w:tcPr>
            <w:tcW w:w="1476" w:type="dxa"/>
            <w:vAlign w:val="center"/>
          </w:tcPr>
          <w:p w14:paraId="4D369D0D" w14:textId="77777777" w:rsidR="00B5366E" w:rsidRPr="002422A9" w:rsidRDefault="00B5366E" w:rsidP="00F42DEE">
            <w:pPr>
              <w:autoSpaceDE w:val="0"/>
              <w:autoSpaceDN w:val="0"/>
              <w:adjustRightInd w:val="0"/>
              <w:ind w:left="-113"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2422A9">
              <w:rPr>
                <w:rFonts w:ascii="Times New Roman" w:hAnsi="Times New Roman" w:cs="Times New Roman"/>
                <w:color w:val="000000"/>
                <w:sz w:val="24"/>
                <w:szCs w:val="24"/>
                <w:lang w:val="en-US"/>
              </w:rPr>
              <w:t>1</w:t>
            </w:r>
          </w:p>
        </w:tc>
      </w:tr>
    </w:tbl>
    <w:p w14:paraId="2FE630F0" w14:textId="2A107FE9" w:rsidR="00B5366E" w:rsidRPr="002422A9" w:rsidRDefault="00B5366E" w:rsidP="00B5366E">
      <w:pPr>
        <w:rPr>
          <w:rFonts w:ascii="Times New Roman" w:hAnsi="Times New Roman" w:cs="Times New Roman"/>
          <w:sz w:val="24"/>
          <w:szCs w:val="24"/>
          <w:lang w:val="en-US"/>
        </w:rPr>
      </w:pPr>
      <w:r w:rsidRPr="002422A9">
        <w:rPr>
          <w:rFonts w:ascii="Times New Roman" w:hAnsi="Times New Roman" w:cs="Times New Roman"/>
          <w:sz w:val="24"/>
          <w:szCs w:val="24"/>
          <w:lang w:val="en-US"/>
        </w:rPr>
        <w:t>** Positive</w:t>
      </w:r>
      <w:r w:rsidR="0062291C" w:rsidRPr="002422A9">
        <w:rPr>
          <w:rFonts w:ascii="Times New Roman" w:hAnsi="Times New Roman" w:cs="Times New Roman"/>
          <w:sz w:val="24"/>
          <w:szCs w:val="24"/>
          <w:lang w:val="en-US"/>
        </w:rPr>
        <w:t xml:space="preserve"> or</w:t>
      </w:r>
      <w:r w:rsidRPr="002422A9">
        <w:rPr>
          <w:rFonts w:ascii="Times New Roman" w:hAnsi="Times New Roman" w:cs="Times New Roman"/>
          <w:sz w:val="24"/>
          <w:szCs w:val="24"/>
          <w:lang w:val="en-US"/>
        </w:rPr>
        <w:t xml:space="preserve"> moderate strong linear correlation.</w:t>
      </w:r>
    </w:p>
    <w:p w14:paraId="33427397" w14:textId="77777777" w:rsidR="0062291C" w:rsidRDefault="00B5366E" w:rsidP="00B5366E">
      <w:pPr>
        <w:rPr>
          <w:rFonts w:ascii="Times New Roman" w:hAnsi="Times New Roman" w:cs="Times New Roman"/>
          <w:sz w:val="24"/>
          <w:szCs w:val="24"/>
          <w:lang w:val="en-US"/>
        </w:rPr>
      </w:pPr>
      <w:r w:rsidRPr="00B5366E">
        <w:rPr>
          <w:rFonts w:ascii="Times New Roman" w:hAnsi="Times New Roman" w:cs="Times New Roman"/>
          <w:sz w:val="24"/>
          <w:szCs w:val="24"/>
          <w:lang w:val="en-US"/>
        </w:rPr>
        <w:t xml:space="preserve">Source: </w:t>
      </w:r>
      <w:r>
        <w:rPr>
          <w:rFonts w:ascii="Times New Roman" w:hAnsi="Times New Roman" w:cs="Times New Roman"/>
          <w:sz w:val="24"/>
          <w:szCs w:val="24"/>
          <w:lang w:val="en-US"/>
        </w:rPr>
        <w:t xml:space="preserve">AWSQ </w:t>
      </w:r>
      <w:r w:rsidRPr="00B5366E">
        <w:rPr>
          <w:rFonts w:ascii="Times New Roman" w:hAnsi="Times New Roman" w:cs="Times New Roman"/>
          <w:sz w:val="24"/>
          <w:szCs w:val="24"/>
          <w:lang w:val="en-US"/>
        </w:rPr>
        <w:t>applied in the study environment.</w:t>
      </w:r>
    </w:p>
    <w:p w14:paraId="1163E90A" w14:textId="566A116F" w:rsidR="0062291C" w:rsidRDefault="0062291C" w:rsidP="00B5366E">
      <w:pPr>
        <w:rPr>
          <w:rFonts w:ascii="Times New Roman" w:hAnsi="Times New Roman" w:cs="Times New Roman"/>
          <w:sz w:val="24"/>
          <w:szCs w:val="24"/>
          <w:lang w:val="en-US"/>
        </w:rPr>
      </w:pPr>
      <w:r w:rsidRPr="0062291C">
        <w:rPr>
          <w:rFonts w:ascii="Times New Roman" w:hAnsi="Times New Roman" w:cs="Times New Roman"/>
          <w:sz w:val="24"/>
          <w:szCs w:val="24"/>
          <w:lang w:val="en-US"/>
        </w:rPr>
        <w:t>The study of the relationship between self-learning strategies were the object of the research that showed the existence of a "moderate or strong positive linear correlation" among them all</w:t>
      </w:r>
      <w:r w:rsidR="006060D0">
        <w:rPr>
          <w:rFonts w:ascii="Times New Roman" w:hAnsi="Times New Roman" w:cs="Times New Roman"/>
          <w:sz w:val="24"/>
          <w:szCs w:val="24"/>
          <w:lang w:val="en-US"/>
        </w:rPr>
        <w:t>”</w:t>
      </w:r>
      <w:r w:rsidRPr="0062291C">
        <w:rPr>
          <w:rFonts w:ascii="Times New Roman" w:hAnsi="Times New Roman" w:cs="Times New Roman"/>
          <w:sz w:val="24"/>
          <w:szCs w:val="24"/>
          <w:lang w:val="en-US"/>
        </w:rPr>
        <w:t xml:space="preserve"> (table 4).</w:t>
      </w:r>
      <w:r>
        <w:rPr>
          <w:rFonts w:ascii="Times New Roman" w:hAnsi="Times New Roman" w:cs="Times New Roman"/>
          <w:sz w:val="24"/>
          <w:szCs w:val="24"/>
          <w:lang w:val="en-US"/>
        </w:rPr>
        <w:t xml:space="preserve"> </w:t>
      </w:r>
      <w:r w:rsidRPr="0062291C">
        <w:rPr>
          <w:rFonts w:ascii="Times New Roman" w:hAnsi="Times New Roman" w:cs="Times New Roman"/>
          <w:sz w:val="24"/>
          <w:szCs w:val="24"/>
          <w:lang w:val="en-US"/>
        </w:rPr>
        <w:t xml:space="preserve">This was a result that confirmed the hypothesis that students in this educational context do not focus on the use of a </w:t>
      </w:r>
      <w:proofErr w:type="gramStart"/>
      <w:r w:rsidRPr="0062291C">
        <w:rPr>
          <w:rFonts w:ascii="Times New Roman" w:hAnsi="Times New Roman" w:cs="Times New Roman"/>
          <w:sz w:val="24"/>
          <w:szCs w:val="24"/>
          <w:lang w:val="en-US"/>
        </w:rPr>
        <w:t xml:space="preserve">particular </w:t>
      </w:r>
      <w:r w:rsidR="006060D0" w:rsidRPr="0062291C">
        <w:rPr>
          <w:rFonts w:ascii="Times New Roman" w:hAnsi="Times New Roman" w:cs="Times New Roman"/>
          <w:sz w:val="24"/>
          <w:szCs w:val="24"/>
          <w:lang w:val="en-US"/>
        </w:rPr>
        <w:t>strategy</w:t>
      </w:r>
      <w:proofErr w:type="gramEnd"/>
      <w:r w:rsidR="006060D0" w:rsidRPr="0062291C">
        <w:rPr>
          <w:rFonts w:ascii="Times New Roman" w:hAnsi="Times New Roman" w:cs="Times New Roman"/>
          <w:sz w:val="24"/>
          <w:szCs w:val="24"/>
          <w:lang w:val="en-US"/>
        </w:rPr>
        <w:t xml:space="preserve"> but</w:t>
      </w:r>
      <w:r w:rsidRPr="0062291C">
        <w:rPr>
          <w:rFonts w:ascii="Times New Roman" w:hAnsi="Times New Roman" w:cs="Times New Roman"/>
          <w:sz w:val="24"/>
          <w:szCs w:val="24"/>
          <w:lang w:val="en-US"/>
        </w:rPr>
        <w:t xml:space="preserve"> integrate them all during self-learning activities.</w:t>
      </w:r>
    </w:p>
    <w:p w14:paraId="54DE4AFC" w14:textId="76E99409" w:rsidR="0062291C" w:rsidRDefault="00E533DF" w:rsidP="00B5366E">
      <w:pPr>
        <w:rPr>
          <w:rFonts w:ascii="Times New Roman" w:hAnsi="Times New Roman" w:cs="Times New Roman"/>
          <w:sz w:val="24"/>
          <w:szCs w:val="24"/>
          <w:lang w:val="en-US"/>
        </w:rPr>
      </w:pPr>
      <w:r w:rsidRPr="00E533DF">
        <w:rPr>
          <w:rFonts w:ascii="Times New Roman" w:hAnsi="Times New Roman" w:cs="Times New Roman"/>
          <w:sz w:val="24"/>
          <w:szCs w:val="24"/>
          <w:lang w:val="en-US"/>
        </w:rPr>
        <w:t>Table 5. Correlation between autonomous work strategies and the types of academic goals in the study sample</w:t>
      </w:r>
      <w:r>
        <w:rPr>
          <w:rFonts w:ascii="Times New Roman" w:hAnsi="Times New Roman" w:cs="Times New Roman"/>
          <w:sz w:val="24"/>
          <w:szCs w:val="24"/>
          <w:lang w:val="en-US"/>
        </w:rPr>
        <w:t>.</w:t>
      </w:r>
    </w:p>
    <w:tbl>
      <w:tblPr>
        <w:tblStyle w:val="PlainTable2"/>
        <w:tblW w:w="0" w:type="auto"/>
        <w:jc w:val="center"/>
        <w:tblLook w:val="04A0" w:firstRow="1" w:lastRow="0" w:firstColumn="1" w:lastColumn="0" w:noHBand="0" w:noVBand="1"/>
      </w:tblPr>
      <w:tblGrid>
        <w:gridCol w:w="2830"/>
        <w:gridCol w:w="1418"/>
        <w:gridCol w:w="1417"/>
        <w:gridCol w:w="1418"/>
        <w:gridCol w:w="1411"/>
      </w:tblGrid>
      <w:tr w:rsidR="00E533DF" w:rsidRPr="00E533DF" w14:paraId="6848029A" w14:textId="77777777" w:rsidTr="00F42D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0AC4AEFA" w14:textId="7973DF1F" w:rsidR="00E533DF" w:rsidRPr="00E533DF" w:rsidRDefault="00E533DF" w:rsidP="00F42DEE">
            <w:pPr>
              <w:jc w:val="center"/>
              <w:rPr>
                <w:rFonts w:ascii="Times New Roman" w:hAnsi="Times New Roman" w:cs="Times New Roman"/>
                <w:sz w:val="24"/>
                <w:szCs w:val="24"/>
                <w:lang w:val="en-US"/>
              </w:rPr>
            </w:pPr>
            <w:r w:rsidRPr="00E533DF">
              <w:rPr>
                <w:rFonts w:ascii="Times New Roman" w:hAnsi="Times New Roman" w:cs="Times New Roman"/>
                <w:sz w:val="24"/>
                <w:szCs w:val="24"/>
                <w:lang w:val="en-US"/>
              </w:rPr>
              <w:t>Strategies:</w:t>
            </w:r>
          </w:p>
        </w:tc>
        <w:tc>
          <w:tcPr>
            <w:tcW w:w="5664" w:type="dxa"/>
            <w:gridSpan w:val="4"/>
            <w:vAlign w:val="center"/>
          </w:tcPr>
          <w:p w14:paraId="36795894" w14:textId="3877BD67" w:rsidR="00E533DF" w:rsidRPr="00E533DF" w:rsidRDefault="00E533DF" w:rsidP="00F42D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533DF">
              <w:rPr>
                <w:rFonts w:ascii="Times New Roman" w:eastAsia="Times New Roman" w:hAnsi="Times New Roman" w:cs="Times New Roman"/>
                <w:sz w:val="24"/>
                <w:szCs w:val="24"/>
                <w:lang w:val="en-US" w:eastAsia="es-EC"/>
              </w:rPr>
              <w:t>Aims:</w:t>
            </w:r>
          </w:p>
        </w:tc>
      </w:tr>
      <w:tr w:rsidR="00E533DF" w:rsidRPr="00E533DF" w14:paraId="654DF48F" w14:textId="77777777" w:rsidTr="00F42D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2D98A9CF" w14:textId="77777777" w:rsidR="00E533DF" w:rsidRPr="00E533DF" w:rsidRDefault="00E533DF" w:rsidP="00F42DEE">
            <w:pPr>
              <w:jc w:val="center"/>
              <w:rPr>
                <w:rFonts w:ascii="Times New Roman" w:hAnsi="Times New Roman" w:cs="Times New Roman"/>
                <w:sz w:val="24"/>
                <w:szCs w:val="24"/>
                <w:lang w:val="en-US"/>
              </w:rPr>
            </w:pPr>
          </w:p>
        </w:tc>
        <w:tc>
          <w:tcPr>
            <w:tcW w:w="1418" w:type="dxa"/>
            <w:vAlign w:val="center"/>
          </w:tcPr>
          <w:p w14:paraId="54B73833" w14:textId="71BE99D3" w:rsidR="00E533DF" w:rsidRPr="00E533DF" w:rsidRDefault="00E533DF" w:rsidP="00F42D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E533DF">
              <w:rPr>
                <w:rFonts w:ascii="Times New Roman" w:hAnsi="Times New Roman" w:cs="Times New Roman"/>
                <w:b/>
                <w:bCs/>
                <w:sz w:val="24"/>
                <w:szCs w:val="24"/>
                <w:lang w:val="en-US"/>
              </w:rPr>
              <w:t>Learning</w:t>
            </w:r>
          </w:p>
        </w:tc>
        <w:tc>
          <w:tcPr>
            <w:tcW w:w="1417" w:type="dxa"/>
            <w:vAlign w:val="center"/>
          </w:tcPr>
          <w:p w14:paraId="13F3D9BE" w14:textId="6779A015" w:rsidR="00E533DF" w:rsidRPr="00E533DF" w:rsidRDefault="00E533DF" w:rsidP="00E53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E533DF">
              <w:rPr>
                <w:rFonts w:ascii="Times New Roman" w:hAnsi="Times New Roman" w:cs="Times New Roman"/>
                <w:b/>
                <w:bCs/>
                <w:sz w:val="24"/>
                <w:szCs w:val="24"/>
                <w:lang w:val="en-US"/>
              </w:rPr>
              <w:t xml:space="preserve">          Self</w:t>
            </w:r>
          </w:p>
        </w:tc>
        <w:tc>
          <w:tcPr>
            <w:tcW w:w="1418" w:type="dxa"/>
            <w:vAlign w:val="center"/>
          </w:tcPr>
          <w:p w14:paraId="0CF50001" w14:textId="4F65552E" w:rsidR="00E533DF" w:rsidRPr="00E533DF" w:rsidRDefault="00E533DF" w:rsidP="00F42D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E533DF">
              <w:rPr>
                <w:rFonts w:ascii="Times New Roman" w:eastAsia="Times New Roman" w:hAnsi="Times New Roman" w:cs="Times New Roman"/>
                <w:b/>
                <w:bCs/>
                <w:sz w:val="24"/>
                <w:szCs w:val="24"/>
                <w:lang w:val="en-US" w:eastAsia="es-EC"/>
              </w:rPr>
              <w:t>Value</w:t>
            </w:r>
          </w:p>
        </w:tc>
        <w:tc>
          <w:tcPr>
            <w:tcW w:w="1411" w:type="dxa"/>
            <w:vAlign w:val="center"/>
          </w:tcPr>
          <w:p w14:paraId="2E0DDFC3" w14:textId="66B4FA4F" w:rsidR="00E533DF" w:rsidRPr="00E533DF" w:rsidRDefault="00E533DF" w:rsidP="00F42D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E533DF">
              <w:rPr>
                <w:rFonts w:ascii="Times New Roman" w:eastAsia="Times New Roman" w:hAnsi="Times New Roman" w:cs="Times New Roman"/>
                <w:b/>
                <w:bCs/>
                <w:sz w:val="24"/>
                <w:szCs w:val="24"/>
                <w:lang w:val="en-US" w:eastAsia="es-EC"/>
              </w:rPr>
              <w:t>Reward</w:t>
            </w:r>
          </w:p>
        </w:tc>
      </w:tr>
      <w:tr w:rsidR="00E533DF" w:rsidRPr="00E533DF" w14:paraId="6EEF122B" w14:textId="77777777" w:rsidTr="00F42DE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AABFF0B" w14:textId="623C6605" w:rsidR="00E533DF" w:rsidRPr="00E533DF" w:rsidRDefault="00E533DF" w:rsidP="00F42DEE">
            <w:pPr>
              <w:rPr>
                <w:rFonts w:ascii="Times New Roman" w:hAnsi="Times New Roman" w:cs="Times New Roman"/>
                <w:sz w:val="24"/>
                <w:szCs w:val="24"/>
                <w:lang w:val="en-US"/>
              </w:rPr>
            </w:pPr>
            <w:r w:rsidRPr="00E533DF">
              <w:rPr>
                <w:rFonts w:ascii="Times New Roman" w:hAnsi="Times New Roman" w:cs="Times New Roman"/>
                <w:sz w:val="24"/>
                <w:szCs w:val="24"/>
                <w:lang w:val="en-US"/>
              </w:rPr>
              <w:t>Extension</w:t>
            </w:r>
          </w:p>
        </w:tc>
        <w:tc>
          <w:tcPr>
            <w:tcW w:w="1418" w:type="dxa"/>
          </w:tcPr>
          <w:p w14:paraId="336434D2"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0.265*</w:t>
            </w:r>
          </w:p>
        </w:tc>
        <w:tc>
          <w:tcPr>
            <w:tcW w:w="1417" w:type="dxa"/>
          </w:tcPr>
          <w:p w14:paraId="264B1E74"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0.167</w:t>
            </w:r>
          </w:p>
        </w:tc>
        <w:tc>
          <w:tcPr>
            <w:tcW w:w="1418" w:type="dxa"/>
          </w:tcPr>
          <w:p w14:paraId="2ADC0A87"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0.173</w:t>
            </w:r>
          </w:p>
        </w:tc>
        <w:tc>
          <w:tcPr>
            <w:tcW w:w="1411" w:type="dxa"/>
          </w:tcPr>
          <w:p w14:paraId="568CB455"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0.214</w:t>
            </w:r>
          </w:p>
        </w:tc>
      </w:tr>
      <w:tr w:rsidR="00E533DF" w:rsidRPr="00E533DF" w14:paraId="1176E2EF" w14:textId="77777777" w:rsidTr="00F42D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498EE09" w14:textId="0BDF1C23" w:rsidR="00E533DF" w:rsidRPr="00E533DF" w:rsidRDefault="00E533DF" w:rsidP="00F42DEE">
            <w:pPr>
              <w:rPr>
                <w:rFonts w:ascii="Times New Roman" w:hAnsi="Times New Roman" w:cs="Times New Roman"/>
                <w:sz w:val="24"/>
                <w:szCs w:val="24"/>
                <w:lang w:val="en-US"/>
              </w:rPr>
            </w:pPr>
            <w:r w:rsidRPr="00E533DF">
              <w:rPr>
                <w:rFonts w:ascii="Times New Roman" w:hAnsi="Times New Roman" w:cs="Times New Roman"/>
                <w:sz w:val="24"/>
                <w:szCs w:val="24"/>
                <w:lang w:val="en-US"/>
              </w:rPr>
              <w:t>Collaboration</w:t>
            </w:r>
          </w:p>
        </w:tc>
        <w:tc>
          <w:tcPr>
            <w:tcW w:w="1418" w:type="dxa"/>
          </w:tcPr>
          <w:p w14:paraId="59F0B732"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0.110</w:t>
            </w:r>
          </w:p>
        </w:tc>
        <w:tc>
          <w:tcPr>
            <w:tcW w:w="1417" w:type="dxa"/>
          </w:tcPr>
          <w:p w14:paraId="02B0D089"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0.250</w:t>
            </w:r>
          </w:p>
        </w:tc>
        <w:tc>
          <w:tcPr>
            <w:tcW w:w="1418" w:type="dxa"/>
          </w:tcPr>
          <w:p w14:paraId="543CC34D"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0.252</w:t>
            </w:r>
          </w:p>
        </w:tc>
        <w:tc>
          <w:tcPr>
            <w:tcW w:w="1411" w:type="dxa"/>
          </w:tcPr>
          <w:p w14:paraId="3A1D4F45"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0.161</w:t>
            </w:r>
          </w:p>
        </w:tc>
      </w:tr>
      <w:tr w:rsidR="00E533DF" w:rsidRPr="00E533DF" w14:paraId="011607E6" w14:textId="77777777" w:rsidTr="00F42DE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8ECAEA3" w14:textId="74F72FE3" w:rsidR="00E533DF" w:rsidRPr="00E533DF" w:rsidRDefault="00E533DF" w:rsidP="00F42DEE">
            <w:pPr>
              <w:rPr>
                <w:rFonts w:ascii="Times New Roman" w:hAnsi="Times New Roman" w:cs="Times New Roman"/>
                <w:sz w:val="24"/>
                <w:szCs w:val="24"/>
                <w:lang w:val="en-US"/>
              </w:rPr>
            </w:pPr>
            <w:r w:rsidRPr="00E533DF">
              <w:rPr>
                <w:rFonts w:ascii="Times New Roman" w:hAnsi="Times New Roman" w:cs="Times New Roman"/>
                <w:sz w:val="24"/>
                <w:szCs w:val="24"/>
                <w:lang w:val="en-US"/>
              </w:rPr>
              <w:t>Conceptual structuring</w:t>
            </w:r>
          </w:p>
        </w:tc>
        <w:tc>
          <w:tcPr>
            <w:tcW w:w="1418" w:type="dxa"/>
          </w:tcPr>
          <w:p w14:paraId="4AF46573"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0.145</w:t>
            </w:r>
          </w:p>
        </w:tc>
        <w:tc>
          <w:tcPr>
            <w:tcW w:w="1417" w:type="dxa"/>
          </w:tcPr>
          <w:p w14:paraId="1CE4DC7F"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0.199</w:t>
            </w:r>
          </w:p>
        </w:tc>
        <w:tc>
          <w:tcPr>
            <w:tcW w:w="1418" w:type="dxa"/>
          </w:tcPr>
          <w:p w14:paraId="12EBC74F"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0.235</w:t>
            </w:r>
          </w:p>
        </w:tc>
        <w:tc>
          <w:tcPr>
            <w:tcW w:w="1411" w:type="dxa"/>
          </w:tcPr>
          <w:p w14:paraId="7A49ED00"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0.309*</w:t>
            </w:r>
          </w:p>
        </w:tc>
      </w:tr>
      <w:tr w:rsidR="00E533DF" w:rsidRPr="00E533DF" w14:paraId="2C5C49AB" w14:textId="77777777" w:rsidTr="00F42D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539AF70" w14:textId="0FA60B37" w:rsidR="00E533DF" w:rsidRPr="00E533DF" w:rsidRDefault="00E533DF" w:rsidP="00F42DEE">
            <w:pPr>
              <w:rPr>
                <w:rFonts w:ascii="Times New Roman" w:hAnsi="Times New Roman" w:cs="Times New Roman"/>
                <w:sz w:val="24"/>
                <w:szCs w:val="24"/>
                <w:lang w:val="en-US"/>
              </w:rPr>
            </w:pPr>
            <w:r w:rsidRPr="00E533DF">
              <w:rPr>
                <w:rFonts w:ascii="Times New Roman" w:hAnsi="Times New Roman" w:cs="Times New Roman"/>
                <w:sz w:val="24"/>
                <w:szCs w:val="24"/>
                <w:lang w:val="en-US"/>
              </w:rPr>
              <w:t>Planning</w:t>
            </w:r>
          </w:p>
        </w:tc>
        <w:tc>
          <w:tcPr>
            <w:tcW w:w="1418" w:type="dxa"/>
          </w:tcPr>
          <w:p w14:paraId="510C2DF6"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0.137</w:t>
            </w:r>
          </w:p>
        </w:tc>
        <w:tc>
          <w:tcPr>
            <w:tcW w:w="1417" w:type="dxa"/>
          </w:tcPr>
          <w:p w14:paraId="5B4C063D"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0.212</w:t>
            </w:r>
          </w:p>
        </w:tc>
        <w:tc>
          <w:tcPr>
            <w:tcW w:w="1418" w:type="dxa"/>
          </w:tcPr>
          <w:p w14:paraId="0E984421"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0.216</w:t>
            </w:r>
          </w:p>
        </w:tc>
        <w:tc>
          <w:tcPr>
            <w:tcW w:w="1411" w:type="dxa"/>
          </w:tcPr>
          <w:p w14:paraId="027A6408"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0.205</w:t>
            </w:r>
          </w:p>
        </w:tc>
      </w:tr>
      <w:tr w:rsidR="00E533DF" w:rsidRPr="00E533DF" w14:paraId="6499C19B" w14:textId="77777777" w:rsidTr="00F42DEE">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82F8E4" w14:textId="14265ED2" w:rsidR="00E533DF" w:rsidRPr="00E533DF" w:rsidRDefault="00E533DF" w:rsidP="00F42DEE">
            <w:pPr>
              <w:autoSpaceDE w:val="0"/>
              <w:autoSpaceDN w:val="0"/>
              <w:adjustRightInd w:val="0"/>
              <w:rPr>
                <w:rFonts w:ascii="Times New Roman" w:hAnsi="Times New Roman" w:cs="Times New Roman"/>
                <w:b w:val="0"/>
                <w:color w:val="000000"/>
                <w:sz w:val="24"/>
                <w:szCs w:val="24"/>
                <w:lang w:val="en-US"/>
              </w:rPr>
            </w:pPr>
            <w:r w:rsidRPr="00E533DF">
              <w:rPr>
                <w:rFonts w:ascii="Times New Roman" w:hAnsi="Times New Roman" w:cs="Times New Roman"/>
                <w:sz w:val="24"/>
                <w:szCs w:val="24"/>
                <w:lang w:val="en-US"/>
              </w:rPr>
              <w:t>Preparation for exams</w:t>
            </w:r>
          </w:p>
        </w:tc>
        <w:tc>
          <w:tcPr>
            <w:tcW w:w="1418" w:type="dxa"/>
          </w:tcPr>
          <w:p w14:paraId="1A933685"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0.199</w:t>
            </w:r>
          </w:p>
        </w:tc>
        <w:tc>
          <w:tcPr>
            <w:tcW w:w="1417" w:type="dxa"/>
          </w:tcPr>
          <w:p w14:paraId="1C9F512E"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0.168</w:t>
            </w:r>
          </w:p>
        </w:tc>
        <w:tc>
          <w:tcPr>
            <w:tcW w:w="1418" w:type="dxa"/>
          </w:tcPr>
          <w:p w14:paraId="26FA026B"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0.198</w:t>
            </w:r>
          </w:p>
        </w:tc>
        <w:tc>
          <w:tcPr>
            <w:tcW w:w="1411" w:type="dxa"/>
          </w:tcPr>
          <w:p w14:paraId="603B78E5" w14:textId="77777777" w:rsidR="00E533DF" w:rsidRPr="00E533DF" w:rsidRDefault="00E533DF" w:rsidP="00F42DEE">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0.225</w:t>
            </w:r>
          </w:p>
        </w:tc>
      </w:tr>
      <w:tr w:rsidR="00E533DF" w:rsidRPr="00E533DF" w14:paraId="0483F180" w14:textId="77777777" w:rsidTr="00F42D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9A53E08" w14:textId="349B2389" w:rsidR="00E533DF" w:rsidRPr="00E533DF" w:rsidRDefault="00E533DF" w:rsidP="00F42DEE">
            <w:pPr>
              <w:autoSpaceDE w:val="0"/>
              <w:autoSpaceDN w:val="0"/>
              <w:adjustRightInd w:val="0"/>
              <w:rPr>
                <w:rFonts w:ascii="Times New Roman" w:hAnsi="Times New Roman" w:cs="Times New Roman"/>
                <w:b w:val="0"/>
                <w:sz w:val="24"/>
                <w:szCs w:val="24"/>
                <w:lang w:val="en-US"/>
              </w:rPr>
            </w:pPr>
            <w:r w:rsidRPr="00E533DF">
              <w:rPr>
                <w:rFonts w:ascii="Times New Roman" w:hAnsi="Times New Roman" w:cs="Times New Roman"/>
                <w:sz w:val="24"/>
                <w:szCs w:val="24"/>
                <w:lang w:val="en-US"/>
              </w:rPr>
              <w:t>Participation</w:t>
            </w:r>
          </w:p>
        </w:tc>
        <w:tc>
          <w:tcPr>
            <w:tcW w:w="1418" w:type="dxa"/>
          </w:tcPr>
          <w:p w14:paraId="5349BA3B"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0.172</w:t>
            </w:r>
          </w:p>
        </w:tc>
        <w:tc>
          <w:tcPr>
            <w:tcW w:w="1417" w:type="dxa"/>
          </w:tcPr>
          <w:p w14:paraId="4E7A570E"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0.182</w:t>
            </w:r>
          </w:p>
        </w:tc>
        <w:tc>
          <w:tcPr>
            <w:tcW w:w="1418" w:type="dxa"/>
          </w:tcPr>
          <w:p w14:paraId="466A83F6"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0.199</w:t>
            </w:r>
          </w:p>
        </w:tc>
        <w:tc>
          <w:tcPr>
            <w:tcW w:w="1411" w:type="dxa"/>
          </w:tcPr>
          <w:p w14:paraId="7F553FF7" w14:textId="77777777" w:rsidR="00E533DF" w:rsidRPr="00E533DF" w:rsidRDefault="00E533DF" w:rsidP="00F42DEE">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E533DF">
              <w:rPr>
                <w:rFonts w:ascii="Times New Roman" w:hAnsi="Times New Roman" w:cs="Times New Roman"/>
                <w:color w:val="000000"/>
                <w:sz w:val="24"/>
                <w:szCs w:val="24"/>
                <w:lang w:val="en-US"/>
              </w:rPr>
              <w:t>0.215</w:t>
            </w:r>
          </w:p>
        </w:tc>
      </w:tr>
    </w:tbl>
    <w:p w14:paraId="495CB4C1" w14:textId="77777777" w:rsidR="000C04DE" w:rsidRPr="000C04DE" w:rsidRDefault="000C04DE" w:rsidP="000C04DE">
      <w:pPr>
        <w:rPr>
          <w:rFonts w:ascii="Times New Roman" w:hAnsi="Times New Roman" w:cs="Times New Roman"/>
          <w:sz w:val="24"/>
          <w:szCs w:val="24"/>
          <w:lang w:val="en-US"/>
        </w:rPr>
      </w:pPr>
      <w:r w:rsidRPr="000C04DE">
        <w:rPr>
          <w:rFonts w:ascii="Times New Roman" w:hAnsi="Times New Roman" w:cs="Times New Roman"/>
          <w:sz w:val="24"/>
          <w:szCs w:val="24"/>
          <w:lang w:val="en-US"/>
        </w:rPr>
        <w:t>*. Weak positive linear correlation.</w:t>
      </w:r>
    </w:p>
    <w:p w14:paraId="79E124A9" w14:textId="08FD4974" w:rsidR="00E533DF" w:rsidRDefault="000C04DE" w:rsidP="000C04DE">
      <w:pPr>
        <w:rPr>
          <w:rFonts w:ascii="Times New Roman" w:hAnsi="Times New Roman" w:cs="Times New Roman"/>
          <w:sz w:val="24"/>
          <w:szCs w:val="24"/>
          <w:lang w:val="en-US"/>
        </w:rPr>
      </w:pPr>
      <w:r w:rsidRPr="000C04DE">
        <w:rPr>
          <w:rFonts w:ascii="Times New Roman" w:hAnsi="Times New Roman" w:cs="Times New Roman"/>
          <w:sz w:val="24"/>
          <w:szCs w:val="24"/>
          <w:lang w:val="en-US"/>
        </w:rPr>
        <w:t xml:space="preserve">Source: </w:t>
      </w:r>
      <w:r>
        <w:rPr>
          <w:rFonts w:ascii="Times New Roman" w:hAnsi="Times New Roman" w:cs="Times New Roman"/>
          <w:sz w:val="24"/>
          <w:szCs w:val="24"/>
          <w:lang w:val="en-US"/>
        </w:rPr>
        <w:t>AWSQ</w:t>
      </w:r>
      <w:r w:rsidRPr="000C04DE">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QEAG </w:t>
      </w:r>
      <w:r w:rsidRPr="000C04DE">
        <w:rPr>
          <w:rFonts w:ascii="Times New Roman" w:hAnsi="Times New Roman" w:cs="Times New Roman"/>
          <w:sz w:val="24"/>
          <w:szCs w:val="24"/>
          <w:lang w:val="en-US"/>
        </w:rPr>
        <w:t>applied in the study environment.</w:t>
      </w:r>
    </w:p>
    <w:p w14:paraId="77F79285" w14:textId="5D5C5522" w:rsidR="000C04DE" w:rsidRDefault="000C04DE" w:rsidP="000C04DE">
      <w:pPr>
        <w:rPr>
          <w:rFonts w:ascii="Times New Roman" w:hAnsi="Times New Roman" w:cs="Times New Roman"/>
          <w:sz w:val="24"/>
          <w:szCs w:val="24"/>
          <w:lang w:val="en-US"/>
        </w:rPr>
      </w:pPr>
      <w:r w:rsidRPr="000C04DE">
        <w:rPr>
          <w:rFonts w:ascii="Times New Roman" w:hAnsi="Times New Roman" w:cs="Times New Roman"/>
          <w:sz w:val="24"/>
          <w:szCs w:val="24"/>
          <w:lang w:val="en-US"/>
        </w:rPr>
        <w:t xml:space="preserve">In the context of training health professionals where the research was developed, the correlation between the strategies of autonomous work and the types of academic goals of the students in the </w:t>
      </w:r>
      <w:r w:rsidRPr="000C04DE">
        <w:rPr>
          <w:rFonts w:ascii="Times New Roman" w:hAnsi="Times New Roman" w:cs="Times New Roman"/>
          <w:sz w:val="24"/>
          <w:szCs w:val="24"/>
          <w:lang w:val="en-US"/>
        </w:rPr>
        <w:lastRenderedPageBreak/>
        <w:t>sample was mostly "scarce or null and positive". It is important to note that the two exceptions of this regularity were manifested with values very close to the lower limit in the "weak" scale range.</w:t>
      </w:r>
    </w:p>
    <w:p w14:paraId="3A3AEA0B" w14:textId="7B0147D6" w:rsidR="00601F3F" w:rsidRDefault="00601F3F" w:rsidP="000C04DE">
      <w:pPr>
        <w:rPr>
          <w:rFonts w:ascii="Times New Roman" w:hAnsi="Times New Roman" w:cs="Times New Roman"/>
          <w:b/>
          <w:sz w:val="24"/>
          <w:szCs w:val="24"/>
          <w:lang w:val="en-US"/>
        </w:rPr>
      </w:pPr>
      <w:r w:rsidRPr="00601F3F">
        <w:rPr>
          <w:rFonts w:ascii="Times New Roman" w:hAnsi="Times New Roman" w:cs="Times New Roman"/>
          <w:b/>
          <w:sz w:val="24"/>
          <w:szCs w:val="24"/>
          <w:lang w:val="en-US"/>
        </w:rPr>
        <w:t>DISCUSSION</w:t>
      </w:r>
    </w:p>
    <w:p w14:paraId="7B2DD96B" w14:textId="014F4218" w:rsidR="00601F3F" w:rsidRDefault="002422A9" w:rsidP="000C04DE">
      <w:pPr>
        <w:rPr>
          <w:rFonts w:ascii="Times New Roman" w:hAnsi="Times New Roman" w:cs="Times New Roman"/>
          <w:sz w:val="24"/>
          <w:szCs w:val="24"/>
          <w:lang w:val="en-US"/>
        </w:rPr>
      </w:pPr>
      <w:r w:rsidRPr="001326F9">
        <w:rPr>
          <w:rFonts w:ascii="Times New Roman" w:hAnsi="Times New Roman" w:cs="Times New Roman"/>
          <w:color w:val="FF0000"/>
          <w:sz w:val="24"/>
          <w:szCs w:val="24"/>
          <w:lang w:val="en-US"/>
        </w:rPr>
        <w:t xml:space="preserve">Psychological. </w:t>
      </w:r>
      <w:r w:rsidRPr="002422A9">
        <w:rPr>
          <w:rFonts w:ascii="Times New Roman" w:hAnsi="Times New Roman" w:cs="Times New Roman"/>
          <w:sz w:val="24"/>
          <w:szCs w:val="24"/>
          <w:lang w:val="en-US"/>
        </w:rPr>
        <w:t xml:space="preserve">For these authors, the way in which young people establish their academic goals depends on the socioeconomic and affective conditions in addition to the characteristics of the educational environment, the learning situations and the teaching methodology. Therefore, when facing certain tasks, they are not always motivated by the scope of a single aim towards a </w:t>
      </w:r>
      <w:r>
        <w:rPr>
          <w:rFonts w:ascii="Times New Roman" w:hAnsi="Times New Roman" w:cs="Times New Roman"/>
          <w:sz w:val="24"/>
          <w:szCs w:val="24"/>
          <w:lang w:val="en-US"/>
        </w:rPr>
        <w:t xml:space="preserve">specific </w:t>
      </w:r>
      <w:r w:rsidRPr="002422A9">
        <w:rPr>
          <w:rFonts w:ascii="Times New Roman" w:hAnsi="Times New Roman" w:cs="Times New Roman"/>
          <w:sz w:val="24"/>
          <w:szCs w:val="24"/>
          <w:lang w:val="en-US"/>
        </w:rPr>
        <w:t>purpose, but rather a varied set.</w:t>
      </w:r>
    </w:p>
    <w:p w14:paraId="7066D041" w14:textId="080153CA" w:rsidR="002422A9" w:rsidRDefault="002422A9" w:rsidP="000C04DE">
      <w:pPr>
        <w:rPr>
          <w:rFonts w:ascii="Times New Roman" w:hAnsi="Times New Roman" w:cs="Times New Roman"/>
          <w:sz w:val="24"/>
          <w:szCs w:val="24"/>
          <w:lang w:val="en-US"/>
        </w:rPr>
      </w:pPr>
      <w:r w:rsidRPr="002422A9">
        <w:rPr>
          <w:rFonts w:ascii="Times New Roman" w:hAnsi="Times New Roman" w:cs="Times New Roman"/>
          <w:sz w:val="24"/>
          <w:szCs w:val="24"/>
          <w:lang w:val="en-US"/>
        </w:rPr>
        <w:t xml:space="preserve">Durán-Aponte and Arias-Gómez (2015, p.23) defend that students who emphasize the focus on the assessment towards the goal consider their skills and competences as sufficiently developed attributes to solve the academic tasks proposed. In turn, this </w:t>
      </w:r>
      <w:r w:rsidR="001326F9" w:rsidRPr="002422A9">
        <w:rPr>
          <w:rFonts w:ascii="Times New Roman" w:hAnsi="Times New Roman" w:cs="Times New Roman"/>
          <w:sz w:val="24"/>
          <w:szCs w:val="24"/>
          <w:lang w:val="en-US"/>
        </w:rPr>
        <w:t>influences</w:t>
      </w:r>
      <w:r w:rsidRPr="002422A9">
        <w:rPr>
          <w:rFonts w:ascii="Times New Roman" w:hAnsi="Times New Roman" w:cs="Times New Roman"/>
          <w:sz w:val="24"/>
          <w:szCs w:val="24"/>
          <w:lang w:val="en-US"/>
        </w:rPr>
        <w:t xml:space="preserve"> students' confidence in their abilities, making them enjoy challenges or cognitive challenges with greater commitment and enthusiasm.</w:t>
      </w:r>
    </w:p>
    <w:p w14:paraId="57185078" w14:textId="6F63C94D" w:rsidR="002422A9" w:rsidRDefault="002422A9" w:rsidP="000C04DE">
      <w:pPr>
        <w:rPr>
          <w:rFonts w:ascii="Times New Roman" w:hAnsi="Times New Roman" w:cs="Times New Roman"/>
          <w:sz w:val="24"/>
          <w:szCs w:val="24"/>
          <w:lang w:val="en-US"/>
        </w:rPr>
      </w:pPr>
      <w:r w:rsidRPr="002422A9">
        <w:rPr>
          <w:rFonts w:ascii="Times New Roman" w:hAnsi="Times New Roman" w:cs="Times New Roman"/>
          <w:sz w:val="24"/>
          <w:szCs w:val="24"/>
          <w:lang w:val="en-US"/>
        </w:rPr>
        <w:t xml:space="preserve">The authors of the research presented concur with the position that "goals oriented to learning" are intrinsic in nature. In this regard, Daura (2015, p.28) considers that </w:t>
      </w:r>
      <w:r w:rsidR="002256FA" w:rsidRPr="002422A9">
        <w:rPr>
          <w:rFonts w:ascii="Times New Roman" w:hAnsi="Times New Roman" w:cs="Times New Roman"/>
          <w:sz w:val="24"/>
          <w:szCs w:val="24"/>
          <w:lang w:val="en-US"/>
        </w:rPr>
        <w:t>th</w:t>
      </w:r>
      <w:r w:rsidR="002256FA">
        <w:rPr>
          <w:rFonts w:ascii="Times New Roman" w:hAnsi="Times New Roman" w:cs="Times New Roman"/>
          <w:sz w:val="24"/>
          <w:szCs w:val="24"/>
          <w:lang w:val="en-US"/>
        </w:rPr>
        <w:t>is</w:t>
      </w:r>
      <w:r w:rsidR="002256FA" w:rsidRPr="002422A9">
        <w:rPr>
          <w:rFonts w:ascii="Times New Roman" w:hAnsi="Times New Roman" w:cs="Times New Roman"/>
          <w:sz w:val="24"/>
          <w:szCs w:val="24"/>
          <w:lang w:val="en-US"/>
        </w:rPr>
        <w:t xml:space="preserve"> guarantee</w:t>
      </w:r>
      <w:r w:rsidR="002256FA">
        <w:rPr>
          <w:rFonts w:ascii="Times New Roman" w:hAnsi="Times New Roman" w:cs="Times New Roman"/>
          <w:sz w:val="24"/>
          <w:szCs w:val="24"/>
          <w:lang w:val="en-US"/>
        </w:rPr>
        <w:t>s</w:t>
      </w:r>
      <w:r w:rsidRPr="002422A9">
        <w:rPr>
          <w:rFonts w:ascii="Times New Roman" w:hAnsi="Times New Roman" w:cs="Times New Roman"/>
          <w:sz w:val="24"/>
          <w:szCs w:val="24"/>
          <w:lang w:val="en-US"/>
        </w:rPr>
        <w:t xml:space="preserve"> greater effectiveness for self-regulated learning. In a three-year study in which this dimension was analyzed, the researcher observed similar results to those expressed in the previous paragraph. It was concluded that motivation driven by interest in the professional field of university education, contributes to a better control over stressful situations that occur during the teaching-educational process, since they favor the establishment of more effective strategies for the achievement of academic purposes.</w:t>
      </w:r>
    </w:p>
    <w:p w14:paraId="622E7CD1" w14:textId="6BAEF828" w:rsidR="00146C40" w:rsidRDefault="00146C40" w:rsidP="000C04DE">
      <w:pPr>
        <w:rPr>
          <w:rFonts w:ascii="Times New Roman" w:hAnsi="Times New Roman" w:cs="Times New Roman"/>
          <w:sz w:val="24"/>
          <w:szCs w:val="24"/>
          <w:lang w:val="en-US"/>
        </w:rPr>
      </w:pPr>
      <w:r w:rsidRPr="00146C40">
        <w:rPr>
          <w:rFonts w:ascii="Times New Roman" w:hAnsi="Times New Roman" w:cs="Times New Roman"/>
          <w:sz w:val="24"/>
          <w:szCs w:val="24"/>
          <w:lang w:val="en-US"/>
        </w:rPr>
        <w:t>In relation to these results, other researchers who obtained similar values were Rodríguez et al. (2014, p.1) who established that high levels in "learning-oriented goals" and those aimed at "obtaining a decent future job" are commonly associated with success in academic performance. This does not usually happen for those students whose training process is mainly motivated by the scope of "self-oriented" and "avoidance of punishment" purposes.</w:t>
      </w:r>
    </w:p>
    <w:p w14:paraId="32730E1E" w14:textId="0D597003" w:rsidR="00146C40" w:rsidRDefault="00146C40" w:rsidP="000C04DE">
      <w:pPr>
        <w:rPr>
          <w:rFonts w:ascii="Times New Roman" w:hAnsi="Times New Roman" w:cs="Times New Roman"/>
          <w:sz w:val="24"/>
          <w:szCs w:val="24"/>
          <w:lang w:val="en-US"/>
        </w:rPr>
      </w:pPr>
      <w:r w:rsidRPr="00146C40">
        <w:rPr>
          <w:rFonts w:ascii="Times New Roman" w:hAnsi="Times New Roman" w:cs="Times New Roman"/>
          <w:sz w:val="24"/>
          <w:szCs w:val="24"/>
          <w:lang w:val="en-US"/>
        </w:rPr>
        <w:t>Daura (2015, p.28) obtained similar regularities in his study with respect to the observed values regarding the correlation between the types of academic goals (table 2) as well as "little or no correlation" between academic goals linked to extrinsic motivation and those linked to intrinsic motivation.</w:t>
      </w:r>
    </w:p>
    <w:p w14:paraId="3B2ADBBC" w14:textId="441D3EB8" w:rsidR="00146C40" w:rsidRDefault="00146C40" w:rsidP="000C04DE">
      <w:pPr>
        <w:rPr>
          <w:rFonts w:ascii="Times New Roman" w:hAnsi="Times New Roman" w:cs="Times New Roman"/>
          <w:sz w:val="24"/>
          <w:szCs w:val="24"/>
          <w:lang w:val="en-US"/>
        </w:rPr>
      </w:pPr>
      <w:proofErr w:type="spellStart"/>
      <w:r w:rsidRPr="00146C40">
        <w:rPr>
          <w:rFonts w:ascii="Times New Roman" w:hAnsi="Times New Roman" w:cs="Times New Roman"/>
          <w:sz w:val="24"/>
          <w:szCs w:val="24"/>
          <w:lang w:val="en-US"/>
        </w:rPr>
        <w:lastRenderedPageBreak/>
        <w:t>Panadero</w:t>
      </w:r>
      <w:proofErr w:type="spellEnd"/>
      <w:r w:rsidRPr="00146C40">
        <w:rPr>
          <w:rFonts w:ascii="Times New Roman" w:hAnsi="Times New Roman" w:cs="Times New Roman"/>
          <w:sz w:val="24"/>
          <w:szCs w:val="24"/>
          <w:lang w:val="en-US"/>
        </w:rPr>
        <w:t xml:space="preserve"> and Alonso-Tapia (2014, p.11), based on the socio-cognitive theory of Bandura, argue that personal goals, the perception of self-efficacy and the expectations of results are the main sources of motivation for the individual to self-regulate during the fulfillment of learning activities. The latter state that the will, effort and clarity of the objectives alone are not sufficient for the attainment of academic aspirations on the students’ part. They need to develop efficient strategies that allow them to regulate their own cognitive process.</w:t>
      </w:r>
    </w:p>
    <w:p w14:paraId="30FBF4EF" w14:textId="2FA4CF66" w:rsidR="00146C40" w:rsidRDefault="00146C40" w:rsidP="000C04DE">
      <w:pPr>
        <w:rPr>
          <w:rFonts w:ascii="Times New Roman" w:hAnsi="Times New Roman" w:cs="Times New Roman"/>
          <w:sz w:val="24"/>
          <w:szCs w:val="24"/>
          <w:lang w:val="en-US"/>
        </w:rPr>
      </w:pPr>
      <w:r w:rsidRPr="00146C40">
        <w:rPr>
          <w:rFonts w:ascii="Times New Roman" w:hAnsi="Times New Roman" w:cs="Times New Roman"/>
          <w:sz w:val="24"/>
          <w:szCs w:val="24"/>
          <w:lang w:val="en-US"/>
        </w:rPr>
        <w:t>A study conducted with undergraduate students at the Faculty of Education in of Albacete in the University of Castilla-La Mancha published by Garrote-Rojas et al. (2016, p.31) contained results that also reflected a homogenous behavior of the different autonomous learning strategies and equally around all the average categories of the scale used. In this environment, students also expressed the simultaneous use of various forms for the fulfillment of academic tasks during the training process.</w:t>
      </w:r>
    </w:p>
    <w:p w14:paraId="60B5493B" w14:textId="6F79F42C" w:rsidR="00146C40" w:rsidRDefault="00146C40" w:rsidP="000C04DE">
      <w:pPr>
        <w:rPr>
          <w:rFonts w:ascii="Times New Roman" w:hAnsi="Times New Roman" w:cs="Times New Roman"/>
          <w:sz w:val="24"/>
          <w:szCs w:val="24"/>
          <w:lang w:val="en-US"/>
        </w:rPr>
      </w:pPr>
      <w:r w:rsidRPr="00146C40">
        <w:rPr>
          <w:rFonts w:ascii="Times New Roman" w:hAnsi="Times New Roman" w:cs="Times New Roman"/>
          <w:sz w:val="24"/>
          <w:szCs w:val="24"/>
          <w:lang w:val="en-US"/>
        </w:rPr>
        <w:t>The researcher Uribe-</w:t>
      </w:r>
      <w:proofErr w:type="spellStart"/>
      <w:r w:rsidRPr="00146C40">
        <w:rPr>
          <w:rFonts w:ascii="Times New Roman" w:hAnsi="Times New Roman" w:cs="Times New Roman"/>
          <w:sz w:val="24"/>
          <w:szCs w:val="24"/>
          <w:lang w:val="en-US"/>
        </w:rPr>
        <w:t>Meneses</w:t>
      </w:r>
      <w:proofErr w:type="spellEnd"/>
      <w:r w:rsidRPr="00146C40">
        <w:rPr>
          <w:rFonts w:ascii="Times New Roman" w:hAnsi="Times New Roman" w:cs="Times New Roman"/>
          <w:sz w:val="24"/>
          <w:szCs w:val="24"/>
          <w:lang w:val="en-US"/>
        </w:rPr>
        <w:t xml:space="preserve"> (2012, p.24) applied the </w:t>
      </w:r>
      <w:r>
        <w:rPr>
          <w:rFonts w:ascii="Times New Roman" w:hAnsi="Times New Roman" w:cs="Times New Roman"/>
          <w:sz w:val="24"/>
          <w:szCs w:val="24"/>
          <w:lang w:val="en-US"/>
        </w:rPr>
        <w:t>AWSQ</w:t>
      </w:r>
      <w:r w:rsidRPr="00146C40">
        <w:rPr>
          <w:rFonts w:ascii="Times New Roman" w:hAnsi="Times New Roman" w:cs="Times New Roman"/>
          <w:sz w:val="24"/>
          <w:szCs w:val="24"/>
          <w:lang w:val="en-US"/>
        </w:rPr>
        <w:t xml:space="preserve"> in Nursing students at the University of Pamplona. The observed results also indicated that the students used different strategies of autonomous work at the same level, but they did it more frequently than the students of the sample used in the present study.</w:t>
      </w:r>
    </w:p>
    <w:p w14:paraId="3499330C" w14:textId="4C968273" w:rsidR="00146C40" w:rsidRDefault="00F07522" w:rsidP="000C04DE">
      <w:pPr>
        <w:rPr>
          <w:rFonts w:ascii="Times New Roman" w:hAnsi="Times New Roman" w:cs="Times New Roman"/>
          <w:sz w:val="24"/>
          <w:szCs w:val="24"/>
          <w:lang w:val="en-US"/>
        </w:rPr>
      </w:pPr>
      <w:r w:rsidRPr="00F07522">
        <w:rPr>
          <w:rFonts w:ascii="Times New Roman" w:hAnsi="Times New Roman" w:cs="Times New Roman"/>
          <w:sz w:val="24"/>
          <w:szCs w:val="24"/>
          <w:lang w:val="en-US"/>
        </w:rPr>
        <w:t>About the relationship between self-learning strategies (table 4), the researchers Granados-López et al. (2017, page 29) observed the same behavior of these dimensions in their study. Their results also showed the existence of a "moderate or strong positive linear correlation" among all the autonomous work strategies analyzed by these authors. Suárez-</w:t>
      </w:r>
      <w:proofErr w:type="spellStart"/>
      <w:r w:rsidRPr="00F07522">
        <w:rPr>
          <w:rFonts w:ascii="Times New Roman" w:hAnsi="Times New Roman" w:cs="Times New Roman"/>
          <w:sz w:val="24"/>
          <w:szCs w:val="24"/>
          <w:lang w:val="en-US"/>
        </w:rPr>
        <w:t>Riveiro</w:t>
      </w:r>
      <w:proofErr w:type="spellEnd"/>
      <w:r w:rsidRPr="00F07522">
        <w:rPr>
          <w:rFonts w:ascii="Times New Roman" w:hAnsi="Times New Roman" w:cs="Times New Roman"/>
          <w:sz w:val="24"/>
          <w:szCs w:val="24"/>
          <w:lang w:val="en-US"/>
        </w:rPr>
        <w:t xml:space="preserve"> et al. (2016, p.421) explain that, students who are unable to manage their own motivation have high probabilities of academic failure, even if they made use of efficient learning strategies, and vice versa. Both categories are necessary to guarantee personal success during professional training. As previously stated, in the educational environment where the research was developed and presented it was possible to confirm the presence of elements inherent to them.</w:t>
      </w:r>
    </w:p>
    <w:p w14:paraId="45174E1E" w14:textId="0C471F8F" w:rsidR="00F07522" w:rsidRDefault="00F07522" w:rsidP="000C04DE">
      <w:pPr>
        <w:rPr>
          <w:rFonts w:ascii="Times New Roman" w:hAnsi="Times New Roman" w:cs="Times New Roman"/>
          <w:sz w:val="24"/>
          <w:szCs w:val="24"/>
          <w:lang w:val="en-US"/>
        </w:rPr>
      </w:pPr>
      <w:proofErr w:type="spellStart"/>
      <w:r w:rsidRPr="00F07522">
        <w:rPr>
          <w:rFonts w:ascii="Times New Roman" w:hAnsi="Times New Roman" w:cs="Times New Roman"/>
          <w:sz w:val="24"/>
          <w:szCs w:val="24"/>
          <w:lang w:val="en-US"/>
        </w:rPr>
        <w:t>Navea</w:t>
      </w:r>
      <w:proofErr w:type="spellEnd"/>
      <w:r w:rsidRPr="00F07522">
        <w:rPr>
          <w:rFonts w:ascii="Times New Roman" w:hAnsi="Times New Roman" w:cs="Times New Roman"/>
          <w:sz w:val="24"/>
          <w:szCs w:val="24"/>
          <w:lang w:val="en-US"/>
        </w:rPr>
        <w:t>-Martín (2017, p.1) conducted a study where he ventured into the relationship between autonomous work strategies and academic goals. The analysis of the results published by this author using the scale proposed in the present investigation allowed us to observe a similar predominance of values located in the "little or no and positive" relationship ranges. This evidenced that the regularities are interestingly coincident in at least two learning environments.</w:t>
      </w:r>
    </w:p>
    <w:p w14:paraId="1F925717" w14:textId="71D05E07" w:rsidR="00F07522" w:rsidRDefault="008A319E" w:rsidP="000C04DE">
      <w:pPr>
        <w:rPr>
          <w:rFonts w:ascii="Times New Roman" w:hAnsi="Times New Roman" w:cs="Times New Roman"/>
          <w:sz w:val="24"/>
          <w:szCs w:val="24"/>
          <w:lang w:val="en-US"/>
        </w:rPr>
      </w:pPr>
      <w:r w:rsidRPr="008A319E">
        <w:rPr>
          <w:rFonts w:ascii="Times New Roman" w:hAnsi="Times New Roman" w:cs="Times New Roman"/>
          <w:sz w:val="24"/>
          <w:szCs w:val="24"/>
          <w:lang w:val="en-US"/>
        </w:rPr>
        <w:lastRenderedPageBreak/>
        <w:t xml:space="preserve">Theoretical references such as Schunk and Zimmerman (2008, p.122), in addition to </w:t>
      </w:r>
      <w:proofErr w:type="spellStart"/>
      <w:r w:rsidRPr="008A319E">
        <w:rPr>
          <w:rFonts w:ascii="Times New Roman" w:hAnsi="Times New Roman" w:cs="Times New Roman"/>
          <w:sz w:val="24"/>
          <w:szCs w:val="24"/>
          <w:lang w:val="en-US"/>
        </w:rPr>
        <w:t>Torrano</w:t>
      </w:r>
      <w:proofErr w:type="spellEnd"/>
      <w:r w:rsidRPr="008A319E">
        <w:rPr>
          <w:rFonts w:ascii="Times New Roman" w:hAnsi="Times New Roman" w:cs="Times New Roman"/>
          <w:sz w:val="24"/>
          <w:szCs w:val="24"/>
          <w:lang w:val="en-US"/>
        </w:rPr>
        <w:t xml:space="preserve"> et al. (2017, p.160), state that the autonomous learning of students is related to motivation and goals that are marked with emotions. Positioning which has complete support from various pedagogical and psychological thesis's and that in a general way could be totally valid. However, in trying to establish this relationship between specific strategies and certain academic goals in the training environment where the research was presented, it was found that at this level it was "weak, scarce or null", although "direct" and with predominant values of bilateral significance.</w:t>
      </w:r>
    </w:p>
    <w:p w14:paraId="61B415F9" w14:textId="529D864B" w:rsidR="008A319E" w:rsidRDefault="00911645" w:rsidP="000C04DE">
      <w:pPr>
        <w:rPr>
          <w:rFonts w:ascii="Times New Roman" w:hAnsi="Times New Roman" w:cs="Times New Roman"/>
          <w:b/>
          <w:sz w:val="24"/>
          <w:szCs w:val="24"/>
          <w:lang w:val="en-US"/>
        </w:rPr>
      </w:pPr>
      <w:r w:rsidRPr="00911645">
        <w:rPr>
          <w:rFonts w:ascii="Times New Roman" w:hAnsi="Times New Roman" w:cs="Times New Roman"/>
          <w:b/>
          <w:sz w:val="24"/>
          <w:szCs w:val="24"/>
          <w:lang w:val="en-US"/>
        </w:rPr>
        <w:t>CONLUSIONS</w:t>
      </w:r>
    </w:p>
    <w:p w14:paraId="0035C1CB" w14:textId="3FF0C04F" w:rsidR="00F42DEE" w:rsidRDefault="00F42DEE" w:rsidP="000C04DE">
      <w:pPr>
        <w:rPr>
          <w:rFonts w:ascii="Times New Roman" w:hAnsi="Times New Roman" w:cs="Times New Roman"/>
          <w:sz w:val="24"/>
          <w:szCs w:val="24"/>
          <w:lang w:val="en-US"/>
        </w:rPr>
      </w:pPr>
      <w:r w:rsidRPr="00F42DEE">
        <w:rPr>
          <w:rFonts w:ascii="Times New Roman" w:hAnsi="Times New Roman" w:cs="Times New Roman"/>
          <w:sz w:val="24"/>
          <w:szCs w:val="24"/>
          <w:lang w:val="en-US"/>
        </w:rPr>
        <w:t>• The "academic goals oriented to learning" were the ones that most frequently motivated the sample students to fulfill the teaching tasks</w:t>
      </w:r>
      <w:r w:rsidR="001326F9">
        <w:rPr>
          <w:rFonts w:ascii="Times New Roman" w:hAnsi="Times New Roman" w:cs="Times New Roman"/>
          <w:sz w:val="24"/>
          <w:szCs w:val="24"/>
          <w:lang w:val="en-US"/>
        </w:rPr>
        <w:t>.</w:t>
      </w:r>
      <w:r w:rsidRPr="00F42DEE">
        <w:rPr>
          <w:rFonts w:ascii="Times New Roman" w:hAnsi="Times New Roman" w:cs="Times New Roman"/>
          <w:sz w:val="24"/>
          <w:szCs w:val="24"/>
          <w:lang w:val="en-US"/>
        </w:rPr>
        <w:t xml:space="preserve"> </w:t>
      </w:r>
      <w:r w:rsidR="001326F9">
        <w:rPr>
          <w:rFonts w:ascii="Times New Roman" w:hAnsi="Times New Roman" w:cs="Times New Roman"/>
          <w:sz w:val="24"/>
          <w:szCs w:val="24"/>
          <w:lang w:val="en-US"/>
        </w:rPr>
        <w:t>I</w:t>
      </w:r>
      <w:r w:rsidRPr="00F42DEE">
        <w:rPr>
          <w:rFonts w:ascii="Times New Roman" w:hAnsi="Times New Roman" w:cs="Times New Roman"/>
          <w:sz w:val="24"/>
          <w:szCs w:val="24"/>
          <w:lang w:val="en-US"/>
        </w:rPr>
        <w:t xml:space="preserve">n this case the selection of the option "almost always" </w:t>
      </w:r>
      <w:bookmarkStart w:id="3" w:name="_GoBack"/>
      <w:bookmarkEnd w:id="3"/>
      <w:r w:rsidRPr="00F42DEE">
        <w:rPr>
          <w:rFonts w:ascii="Times New Roman" w:hAnsi="Times New Roman" w:cs="Times New Roman"/>
          <w:sz w:val="24"/>
          <w:szCs w:val="24"/>
          <w:lang w:val="en-US"/>
        </w:rPr>
        <w:t>by the students involved in the study predominated.</w:t>
      </w:r>
    </w:p>
    <w:p w14:paraId="4AC367D3" w14:textId="3EA6AEF3" w:rsidR="00F42DEE" w:rsidRDefault="00AF5366" w:rsidP="000C04DE">
      <w:pPr>
        <w:rPr>
          <w:rFonts w:ascii="Times New Roman" w:hAnsi="Times New Roman" w:cs="Times New Roman"/>
          <w:sz w:val="24"/>
          <w:szCs w:val="24"/>
          <w:lang w:val="en-US"/>
        </w:rPr>
      </w:pPr>
      <w:r w:rsidRPr="00AF5366">
        <w:rPr>
          <w:rFonts w:ascii="Times New Roman" w:hAnsi="Times New Roman" w:cs="Times New Roman"/>
          <w:sz w:val="24"/>
          <w:szCs w:val="24"/>
          <w:lang w:val="en-US"/>
        </w:rPr>
        <w:t>• The Pearson correlation test showed the existence of a "moderate or strong positive linear correlation" between the types of personal academic goals to the extrinsic motivational elements. However, there was "little or no correlation" between the academic goals linked to extrinsic motivation and those linked to intrinsic motivation.</w:t>
      </w:r>
    </w:p>
    <w:p w14:paraId="1B926344" w14:textId="5534E72C" w:rsidR="00AF5366" w:rsidRDefault="007F3188" w:rsidP="000C04DE">
      <w:pPr>
        <w:rPr>
          <w:rFonts w:ascii="Times New Roman" w:hAnsi="Times New Roman" w:cs="Times New Roman"/>
          <w:sz w:val="24"/>
          <w:szCs w:val="24"/>
          <w:lang w:val="en-US"/>
        </w:rPr>
      </w:pPr>
      <w:r w:rsidRPr="007F3188">
        <w:rPr>
          <w:rFonts w:ascii="Times New Roman" w:hAnsi="Times New Roman" w:cs="Times New Roman"/>
          <w:sz w:val="24"/>
          <w:szCs w:val="24"/>
          <w:lang w:val="en-US"/>
        </w:rPr>
        <w:t>• The correlation between the self-learning strategies that were the object of the research resulted in "linear positive or moderate strong" among everyone.</w:t>
      </w:r>
    </w:p>
    <w:p w14:paraId="699566C9" w14:textId="36BE9C2F" w:rsidR="007F3188" w:rsidRDefault="007F3188" w:rsidP="000C04DE">
      <w:pPr>
        <w:rPr>
          <w:rFonts w:ascii="Times New Roman" w:hAnsi="Times New Roman" w:cs="Times New Roman"/>
          <w:sz w:val="24"/>
          <w:szCs w:val="24"/>
          <w:lang w:val="en-US"/>
        </w:rPr>
      </w:pPr>
      <w:r w:rsidRPr="007F3188">
        <w:rPr>
          <w:rFonts w:ascii="Times New Roman" w:hAnsi="Times New Roman" w:cs="Times New Roman"/>
          <w:sz w:val="24"/>
          <w:szCs w:val="24"/>
          <w:lang w:val="en-US"/>
        </w:rPr>
        <w:t>• The analysis of the correlation between the strategies of autonomous work and the types of academic goals of the students in the sample was mostly "scarce or null and positive".</w:t>
      </w:r>
    </w:p>
    <w:p w14:paraId="497A91F6" w14:textId="3C5FAB9D" w:rsidR="007F3188" w:rsidRPr="00BD171E" w:rsidRDefault="007F3188" w:rsidP="000C04DE">
      <w:pPr>
        <w:rPr>
          <w:rFonts w:ascii="Times New Roman" w:hAnsi="Times New Roman" w:cs="Times New Roman"/>
          <w:b/>
          <w:sz w:val="24"/>
          <w:szCs w:val="24"/>
        </w:rPr>
      </w:pPr>
      <w:proofErr w:type="spellStart"/>
      <w:r w:rsidRPr="00BD171E">
        <w:rPr>
          <w:rFonts w:ascii="Times New Roman" w:hAnsi="Times New Roman" w:cs="Times New Roman"/>
          <w:b/>
          <w:sz w:val="24"/>
          <w:szCs w:val="24"/>
        </w:rPr>
        <w:t>References</w:t>
      </w:r>
      <w:proofErr w:type="spellEnd"/>
    </w:p>
    <w:p w14:paraId="46A466C5" w14:textId="77777777" w:rsidR="007F3188" w:rsidRPr="001E3F4D" w:rsidRDefault="007F3188" w:rsidP="007F3188">
      <w:pPr>
        <w:ind w:left="709" w:hanging="709"/>
        <w:rPr>
          <w:rFonts w:ascii="Times New Roman" w:hAnsi="Times New Roman" w:cs="Times New Roman"/>
          <w:bCs/>
          <w:sz w:val="24"/>
          <w:szCs w:val="24"/>
        </w:rPr>
      </w:pPr>
      <w:proofErr w:type="spellStart"/>
      <w:r w:rsidRPr="001E3F4D">
        <w:rPr>
          <w:rFonts w:ascii="Times New Roman" w:hAnsi="Times New Roman" w:cs="Times New Roman"/>
          <w:bCs/>
          <w:sz w:val="24"/>
          <w:szCs w:val="24"/>
        </w:rPr>
        <w:t>Bitran</w:t>
      </w:r>
      <w:proofErr w:type="spellEnd"/>
      <w:r w:rsidRPr="001E3F4D">
        <w:rPr>
          <w:rFonts w:ascii="Times New Roman" w:hAnsi="Times New Roman" w:cs="Times New Roman"/>
          <w:bCs/>
          <w:sz w:val="24"/>
          <w:szCs w:val="24"/>
        </w:rPr>
        <w:t xml:space="preserve">, M., Zúñiga, D., Leiva, I., Calderón, M., </w:t>
      </w:r>
      <w:proofErr w:type="spellStart"/>
      <w:r w:rsidRPr="001E3F4D">
        <w:rPr>
          <w:rFonts w:ascii="Times New Roman" w:hAnsi="Times New Roman" w:cs="Times New Roman"/>
          <w:bCs/>
          <w:sz w:val="24"/>
          <w:szCs w:val="24"/>
        </w:rPr>
        <w:t>Tomicic</w:t>
      </w:r>
      <w:proofErr w:type="spellEnd"/>
      <w:r w:rsidRPr="001E3F4D">
        <w:rPr>
          <w:rFonts w:ascii="Times New Roman" w:hAnsi="Times New Roman" w:cs="Times New Roman"/>
          <w:bCs/>
          <w:sz w:val="24"/>
          <w:szCs w:val="24"/>
        </w:rPr>
        <w:t xml:space="preserve">, A., Padilla, O., &amp; Riquelme, A. (2014). </w:t>
      </w:r>
      <w:r w:rsidRPr="00395FE3">
        <w:rPr>
          <w:rFonts w:ascii="Times New Roman" w:hAnsi="Times New Roman" w:cs="Times New Roman"/>
          <w:bCs/>
          <w:sz w:val="24"/>
          <w:szCs w:val="24"/>
        </w:rPr>
        <w:t xml:space="preserve">¿Cómo aprenden los estudiantes de medicina en la transición hacia el ciclo clínico?: Estudio cualitativo de las percepciones de estudiantes y docentes acerca del aprendizaje inicial de la clínica. </w:t>
      </w:r>
      <w:r w:rsidRPr="001E3F4D">
        <w:rPr>
          <w:rFonts w:ascii="Times New Roman" w:hAnsi="Times New Roman" w:cs="Times New Roman"/>
          <w:bCs/>
          <w:sz w:val="24"/>
          <w:szCs w:val="24"/>
        </w:rPr>
        <w:t>Revista médica de Chile 142, 723-731. DOI: https://dx.doi.org/10.4067/S0034-98872014000600006.</w:t>
      </w:r>
    </w:p>
    <w:p w14:paraId="2C076C22"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Boza-Carreño, Á., &amp; Méndez-Garrido, J. M. (2013). Aprendizaje motivado en alumnos universitarios: validación y resultados generales de una escala. Revista de Investigación Educativa 31, 331-347. DOI: http://dx.doi.org/10.6018/rie.31.2.163581.</w:t>
      </w:r>
    </w:p>
    <w:p w14:paraId="33CC22A7" w14:textId="77777777" w:rsidR="007F3188" w:rsidRPr="001E3F4D" w:rsidRDefault="007F3188" w:rsidP="007F3188">
      <w:pPr>
        <w:ind w:left="709" w:hanging="709"/>
        <w:rPr>
          <w:rFonts w:ascii="Times New Roman" w:hAnsi="Times New Roman" w:cs="Times New Roman"/>
          <w:sz w:val="24"/>
          <w:szCs w:val="24"/>
          <w:lang w:val="en-US"/>
        </w:rPr>
      </w:pPr>
      <w:r w:rsidRPr="001E3F4D">
        <w:rPr>
          <w:rFonts w:ascii="Times New Roman" w:hAnsi="Times New Roman" w:cs="Times New Roman"/>
          <w:sz w:val="24"/>
          <w:szCs w:val="24"/>
          <w:lang w:val="es-419"/>
        </w:rPr>
        <w:t xml:space="preserve">Cáceres-Alvarado, L., &amp; Nieto-Gutiérrez, J. (2013). Desarrollo de un cuestionario tridimensional de metas de logro en deportes de conjunto. </w:t>
      </w:r>
      <w:r w:rsidRPr="001E3F4D">
        <w:rPr>
          <w:rFonts w:ascii="Times New Roman" w:hAnsi="Times New Roman" w:cs="Times New Roman"/>
          <w:sz w:val="24"/>
          <w:szCs w:val="24"/>
          <w:lang w:val="en-US"/>
        </w:rPr>
        <w:t>Journal of Behavior, Health &amp; Social Issues 5, 41-53. DOI: https://doi.org/10.5460/jbhsi.v5.1.38725.</w:t>
      </w:r>
    </w:p>
    <w:p w14:paraId="395A3364" w14:textId="77777777" w:rsidR="007F3188" w:rsidRPr="00395FE3" w:rsidRDefault="007F3188" w:rsidP="007F3188">
      <w:pPr>
        <w:ind w:left="709" w:hanging="709"/>
        <w:rPr>
          <w:rFonts w:ascii="Times New Roman" w:hAnsi="Times New Roman" w:cs="Times New Roman"/>
          <w:sz w:val="24"/>
          <w:szCs w:val="24"/>
        </w:rPr>
      </w:pPr>
      <w:r w:rsidRPr="00395FE3">
        <w:rPr>
          <w:rFonts w:ascii="Times New Roman" w:hAnsi="Times New Roman" w:cs="Times New Roman"/>
          <w:sz w:val="24"/>
          <w:szCs w:val="24"/>
        </w:rPr>
        <w:lastRenderedPageBreak/>
        <w:t xml:space="preserve">Calderón, C., &amp; </w:t>
      </w:r>
      <w:proofErr w:type="spellStart"/>
      <w:r w:rsidRPr="00395FE3">
        <w:rPr>
          <w:rFonts w:ascii="Times New Roman" w:hAnsi="Times New Roman" w:cs="Times New Roman"/>
          <w:sz w:val="24"/>
          <w:szCs w:val="24"/>
        </w:rPr>
        <w:t>Casu</w:t>
      </w:r>
      <w:proofErr w:type="spellEnd"/>
      <w:r w:rsidRPr="00395FE3">
        <w:rPr>
          <w:rFonts w:ascii="Times New Roman" w:hAnsi="Times New Roman" w:cs="Times New Roman"/>
          <w:sz w:val="24"/>
          <w:szCs w:val="24"/>
        </w:rPr>
        <w:t xml:space="preserve">, G. (2011). </w:t>
      </w:r>
      <w:r w:rsidRPr="001E3F4D">
        <w:rPr>
          <w:rFonts w:ascii="Times New Roman" w:hAnsi="Times New Roman" w:cs="Times New Roman"/>
          <w:sz w:val="24"/>
          <w:szCs w:val="24"/>
          <w:lang w:val="es-419"/>
        </w:rPr>
        <w:t xml:space="preserve">Escala de factores estructurales de la clase: una medida para evaluar características de la clase relacionadas con las metas académicas de los estudiantes. Revista Latinoamericana de Psicología de la Salud &amp; Sociedad, 2(3), 285–296.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13, 2018,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http://revistas.ucn.cl/index.php/saludysociedad/article/view/829/669.</w:t>
      </w:r>
    </w:p>
    <w:p w14:paraId="54724B2F"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Corporación CIMTED. (2016). Gestión del talento humano: enfoques y modelos. (Medellín: Editorial CIMTED).</w:t>
      </w:r>
    </w:p>
    <w:p w14:paraId="3FBB2B55" w14:textId="77777777" w:rsidR="007F3188" w:rsidRPr="00395FE3" w:rsidRDefault="007F3188" w:rsidP="007F3188">
      <w:pPr>
        <w:ind w:left="709" w:hanging="709"/>
        <w:rPr>
          <w:rFonts w:ascii="Times New Roman" w:hAnsi="Times New Roman" w:cs="Times New Roman"/>
          <w:bCs/>
          <w:sz w:val="24"/>
          <w:szCs w:val="24"/>
        </w:rPr>
      </w:pPr>
      <w:proofErr w:type="spellStart"/>
      <w:r w:rsidRPr="001E3F4D">
        <w:rPr>
          <w:rFonts w:ascii="Times New Roman" w:hAnsi="Times New Roman" w:cs="Times New Roman"/>
          <w:bCs/>
          <w:sz w:val="24"/>
          <w:szCs w:val="24"/>
        </w:rPr>
        <w:t>Daura</w:t>
      </w:r>
      <w:proofErr w:type="spellEnd"/>
      <w:r w:rsidRPr="001E3F4D">
        <w:rPr>
          <w:rFonts w:ascii="Times New Roman" w:hAnsi="Times New Roman" w:cs="Times New Roman"/>
          <w:bCs/>
          <w:sz w:val="24"/>
          <w:szCs w:val="24"/>
        </w:rPr>
        <w:t xml:space="preserve">, F. T. (2015). Aprendizaje autorregulado y rendimiento académico en estudiantes del ciclo clínico de la carrera de Medicina. Revista electrónica de investigación educativa, 17(3), 28-45.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11, 2018,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http://www.scielo.org.mx/scielo.php?script=sci_arttext&amp;pid=S1607-40412015000300003.</w:t>
      </w:r>
    </w:p>
    <w:p w14:paraId="0A7A2CE1"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 xml:space="preserve">Domínguez-Alonso, J., &amp; Pino-Juste, M. R. (2016). Motivación intrínseca y extrínseca: análisis en adolescentes gallegos. </w:t>
      </w:r>
      <w:r w:rsidRPr="00395FE3">
        <w:rPr>
          <w:rFonts w:ascii="Times New Roman" w:hAnsi="Times New Roman" w:cs="Times New Roman"/>
          <w:sz w:val="24"/>
          <w:szCs w:val="24"/>
          <w:lang w:val="en-US"/>
        </w:rPr>
        <w:t xml:space="preserve">International Journal of Developmental and Educational Psychology. </w:t>
      </w:r>
      <w:proofErr w:type="spellStart"/>
      <w:r w:rsidRPr="00395FE3">
        <w:rPr>
          <w:rFonts w:ascii="Times New Roman" w:hAnsi="Times New Roman" w:cs="Times New Roman"/>
          <w:sz w:val="24"/>
          <w:szCs w:val="24"/>
          <w:lang w:val="en-US"/>
        </w:rPr>
        <w:t>Revista</w:t>
      </w:r>
      <w:proofErr w:type="spellEnd"/>
      <w:r w:rsidRPr="00395FE3">
        <w:rPr>
          <w:rFonts w:ascii="Times New Roman" w:hAnsi="Times New Roman" w:cs="Times New Roman"/>
          <w:sz w:val="24"/>
          <w:szCs w:val="24"/>
          <w:lang w:val="en-US"/>
        </w:rPr>
        <w:t xml:space="preserve"> INFAD de </w:t>
      </w:r>
      <w:proofErr w:type="spellStart"/>
      <w:r w:rsidRPr="00395FE3">
        <w:rPr>
          <w:rFonts w:ascii="Times New Roman" w:hAnsi="Times New Roman" w:cs="Times New Roman"/>
          <w:sz w:val="24"/>
          <w:szCs w:val="24"/>
          <w:lang w:val="en-US"/>
        </w:rPr>
        <w:t>Psicología</w:t>
      </w:r>
      <w:proofErr w:type="spellEnd"/>
      <w:r w:rsidRPr="00395FE3">
        <w:rPr>
          <w:rFonts w:ascii="Times New Roman" w:hAnsi="Times New Roman" w:cs="Times New Roman"/>
          <w:sz w:val="24"/>
          <w:szCs w:val="24"/>
          <w:lang w:val="en-US"/>
        </w:rPr>
        <w:t xml:space="preserve"> 1, 349-358. </w:t>
      </w:r>
      <w:r w:rsidRPr="001E3F4D">
        <w:rPr>
          <w:rFonts w:ascii="Times New Roman" w:hAnsi="Times New Roman" w:cs="Times New Roman"/>
          <w:sz w:val="24"/>
          <w:szCs w:val="24"/>
          <w:lang w:val="es-419"/>
        </w:rPr>
        <w:t>DOI: http://dx.doi.org/10.17060/ijodaep.2014.n1.v1.380.</w:t>
      </w:r>
    </w:p>
    <w:p w14:paraId="0C1874C8" w14:textId="77777777" w:rsidR="007F3188" w:rsidRPr="00395FE3" w:rsidRDefault="007F3188" w:rsidP="007F3188">
      <w:pPr>
        <w:ind w:left="709" w:hanging="709"/>
        <w:rPr>
          <w:rFonts w:ascii="Times New Roman" w:hAnsi="Times New Roman" w:cs="Times New Roman"/>
          <w:sz w:val="24"/>
          <w:szCs w:val="24"/>
        </w:rPr>
      </w:pPr>
      <w:r w:rsidRPr="001E3F4D">
        <w:rPr>
          <w:rFonts w:ascii="Times New Roman" w:hAnsi="Times New Roman" w:cs="Times New Roman"/>
          <w:sz w:val="24"/>
          <w:szCs w:val="24"/>
          <w:lang w:val="es-419"/>
        </w:rPr>
        <w:t xml:space="preserve">Durán-Aponte, E., &amp; Arias-Gómez, D. (2015). Validez del Cuestionario de Metas Académicas (CMA) en una muestra de estudiantes universitarios. Cuadernos Hispanoamericanos de Psicología, 15(1), 23-36.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12, 2018,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https://dialnet.unirioja.es/descarga/articulo/5559767.pdf.</w:t>
      </w:r>
    </w:p>
    <w:p w14:paraId="2144C33F"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 xml:space="preserve">Fernández, E., Bernardo, A., Suárez, N., Cerezo, R., Núñez, J. C., &amp; Rosario, P. (2013). </w:t>
      </w:r>
      <w:r w:rsidRPr="00395FE3">
        <w:rPr>
          <w:rFonts w:ascii="Times New Roman" w:hAnsi="Times New Roman" w:cs="Times New Roman"/>
          <w:sz w:val="24"/>
          <w:szCs w:val="24"/>
          <w:lang w:val="en-US"/>
        </w:rPr>
        <w:t xml:space="preserve">Prediction of use self-regulation strategies in higher education. </w:t>
      </w:r>
      <w:proofErr w:type="spellStart"/>
      <w:r w:rsidRPr="00395FE3">
        <w:rPr>
          <w:rFonts w:ascii="Times New Roman" w:hAnsi="Times New Roman" w:cs="Times New Roman"/>
          <w:sz w:val="24"/>
          <w:szCs w:val="24"/>
          <w:lang w:val="en-US"/>
        </w:rPr>
        <w:t>Anales</w:t>
      </w:r>
      <w:proofErr w:type="spellEnd"/>
      <w:r w:rsidRPr="00395FE3">
        <w:rPr>
          <w:rFonts w:ascii="Times New Roman" w:hAnsi="Times New Roman" w:cs="Times New Roman"/>
          <w:sz w:val="24"/>
          <w:szCs w:val="24"/>
          <w:lang w:val="en-US"/>
        </w:rPr>
        <w:t xml:space="preserve"> de </w:t>
      </w:r>
      <w:proofErr w:type="spellStart"/>
      <w:r w:rsidRPr="00395FE3">
        <w:rPr>
          <w:rFonts w:ascii="Times New Roman" w:hAnsi="Times New Roman" w:cs="Times New Roman"/>
          <w:sz w:val="24"/>
          <w:szCs w:val="24"/>
          <w:lang w:val="en-US"/>
        </w:rPr>
        <w:t>Psicología</w:t>
      </w:r>
      <w:proofErr w:type="spellEnd"/>
      <w:r w:rsidRPr="00395FE3">
        <w:rPr>
          <w:rFonts w:ascii="Times New Roman" w:hAnsi="Times New Roman" w:cs="Times New Roman"/>
          <w:sz w:val="24"/>
          <w:szCs w:val="24"/>
          <w:lang w:val="en-US"/>
        </w:rPr>
        <w:t xml:space="preserve"> 29, 865-875. </w:t>
      </w:r>
      <w:r w:rsidRPr="001E3F4D">
        <w:rPr>
          <w:rFonts w:ascii="Times New Roman" w:hAnsi="Times New Roman" w:cs="Times New Roman"/>
          <w:sz w:val="24"/>
          <w:szCs w:val="24"/>
          <w:lang w:val="es-419"/>
        </w:rPr>
        <w:t>DOI: https://dx.doi.org/10.6018/analesps.29.3.139341.</w:t>
      </w:r>
    </w:p>
    <w:p w14:paraId="3319C81A" w14:textId="77777777" w:rsidR="007F3188" w:rsidRPr="001E3F4D" w:rsidRDefault="007F3188" w:rsidP="007F3188">
      <w:pPr>
        <w:ind w:left="709" w:hanging="709"/>
        <w:rPr>
          <w:rFonts w:ascii="Times New Roman" w:hAnsi="Times New Roman" w:cs="Times New Roman"/>
          <w:sz w:val="24"/>
          <w:szCs w:val="24"/>
        </w:rPr>
      </w:pPr>
      <w:r w:rsidRPr="001E3F4D">
        <w:rPr>
          <w:rFonts w:ascii="Times New Roman" w:hAnsi="Times New Roman" w:cs="Times New Roman"/>
          <w:color w:val="212121"/>
          <w:sz w:val="24"/>
          <w:szCs w:val="24"/>
          <w:shd w:val="clear" w:color="auto" w:fill="FFFFFF"/>
        </w:rPr>
        <w:t xml:space="preserve">Gaeta, M. L., Cavazos, J., Sánchez, A. P., </w:t>
      </w:r>
      <w:proofErr w:type="spellStart"/>
      <w:r w:rsidRPr="001E3F4D">
        <w:rPr>
          <w:rFonts w:ascii="Times New Roman" w:hAnsi="Times New Roman" w:cs="Times New Roman"/>
          <w:color w:val="212121"/>
          <w:sz w:val="24"/>
          <w:szCs w:val="24"/>
          <w:shd w:val="clear" w:color="auto" w:fill="FFFFFF"/>
        </w:rPr>
        <w:t>Rosário</w:t>
      </w:r>
      <w:proofErr w:type="spellEnd"/>
      <w:r w:rsidRPr="001E3F4D">
        <w:rPr>
          <w:rFonts w:ascii="Times New Roman" w:hAnsi="Times New Roman" w:cs="Times New Roman"/>
          <w:color w:val="212121"/>
          <w:sz w:val="24"/>
          <w:szCs w:val="24"/>
          <w:shd w:val="clear" w:color="auto" w:fill="FFFFFF"/>
        </w:rPr>
        <w:t xml:space="preserve">, P., </w:t>
      </w:r>
      <w:r w:rsidRPr="001E3F4D">
        <w:rPr>
          <w:rFonts w:ascii="Times New Roman" w:hAnsi="Times New Roman" w:cs="Times New Roman"/>
          <w:sz w:val="24"/>
          <w:szCs w:val="24"/>
          <w:lang w:val="es-419"/>
        </w:rPr>
        <w:t xml:space="preserve">&amp; </w:t>
      </w:r>
      <w:proofErr w:type="spellStart"/>
      <w:r w:rsidRPr="001E3F4D">
        <w:rPr>
          <w:rFonts w:ascii="Times New Roman" w:hAnsi="Times New Roman" w:cs="Times New Roman"/>
          <w:color w:val="212121"/>
          <w:sz w:val="24"/>
          <w:szCs w:val="24"/>
          <w:shd w:val="clear" w:color="auto" w:fill="FFFFFF"/>
        </w:rPr>
        <w:t>Högemann</w:t>
      </w:r>
      <w:proofErr w:type="spellEnd"/>
      <w:r w:rsidRPr="001E3F4D">
        <w:rPr>
          <w:rFonts w:ascii="Times New Roman" w:hAnsi="Times New Roman" w:cs="Times New Roman"/>
          <w:color w:val="212121"/>
          <w:sz w:val="24"/>
          <w:szCs w:val="24"/>
          <w:shd w:val="clear" w:color="auto" w:fill="FFFFFF"/>
        </w:rPr>
        <w:t>, J. (2015). Propiedades psicométricas de la versión mexicana del Cuestionario para la Evaluación de Metas Académicas (CEMA). Revista Latinoamericana de Psicología,</w:t>
      </w:r>
      <w:r w:rsidRPr="001E3F4D">
        <w:rPr>
          <w:rFonts w:ascii="Times New Roman" w:hAnsi="Times New Roman" w:cs="Times New Roman"/>
          <w:sz w:val="24"/>
          <w:szCs w:val="24"/>
        </w:rPr>
        <w:t xml:space="preserve"> </w:t>
      </w:r>
      <w:r w:rsidRPr="001E3F4D">
        <w:rPr>
          <w:rFonts w:ascii="Times New Roman" w:hAnsi="Times New Roman" w:cs="Times New Roman"/>
          <w:color w:val="212121"/>
          <w:sz w:val="24"/>
          <w:szCs w:val="24"/>
          <w:shd w:val="clear" w:color="auto" w:fill="FFFFFF"/>
        </w:rPr>
        <w:t xml:space="preserve">47(1), 16-24. </w:t>
      </w:r>
      <w:proofErr w:type="spellStart"/>
      <w:r w:rsidRPr="001E3F4D">
        <w:rPr>
          <w:rFonts w:ascii="Times New Roman" w:hAnsi="Times New Roman" w:cs="Times New Roman"/>
          <w:sz w:val="24"/>
          <w:szCs w:val="24"/>
        </w:rPr>
        <w:t>Retrieved</w:t>
      </w:r>
      <w:proofErr w:type="spellEnd"/>
      <w:r w:rsidRPr="001E3F4D">
        <w:rPr>
          <w:rFonts w:ascii="Times New Roman" w:hAnsi="Times New Roman" w:cs="Times New Roman"/>
          <w:sz w:val="24"/>
          <w:szCs w:val="24"/>
        </w:rPr>
        <w:t xml:space="preserve"> </w:t>
      </w:r>
      <w:proofErr w:type="spellStart"/>
      <w:r w:rsidRPr="001E3F4D">
        <w:rPr>
          <w:rFonts w:ascii="Times New Roman" w:hAnsi="Times New Roman" w:cs="Times New Roman"/>
          <w:sz w:val="24"/>
          <w:szCs w:val="24"/>
        </w:rPr>
        <w:t>January</w:t>
      </w:r>
      <w:proofErr w:type="spellEnd"/>
      <w:r w:rsidRPr="001E3F4D">
        <w:rPr>
          <w:rFonts w:ascii="Times New Roman" w:hAnsi="Times New Roman" w:cs="Times New Roman"/>
          <w:sz w:val="24"/>
          <w:szCs w:val="24"/>
        </w:rPr>
        <w:t xml:space="preserve"> 9, 2018, </w:t>
      </w:r>
      <w:proofErr w:type="spellStart"/>
      <w:r w:rsidRPr="001E3F4D">
        <w:rPr>
          <w:rFonts w:ascii="Times New Roman" w:hAnsi="Times New Roman" w:cs="Times New Roman"/>
          <w:sz w:val="24"/>
          <w:szCs w:val="24"/>
        </w:rPr>
        <w:t>from</w:t>
      </w:r>
      <w:proofErr w:type="spellEnd"/>
      <w:r w:rsidRPr="001E3F4D">
        <w:rPr>
          <w:rFonts w:ascii="Times New Roman" w:hAnsi="Times New Roman" w:cs="Times New Roman"/>
          <w:color w:val="212121"/>
          <w:sz w:val="24"/>
          <w:szCs w:val="24"/>
          <w:shd w:val="clear" w:color="auto" w:fill="FFFFFF"/>
        </w:rPr>
        <w:t xml:space="preserve"> http://www.elsevier.es/es-revista-revista-latinoamericana-psicologia-205-articulo-propiedades-psicometricas-version-mexicana-del-S0120053415300029. </w:t>
      </w:r>
    </w:p>
    <w:p w14:paraId="7F1E6BA0"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 xml:space="preserve">Gámez, E., Marrero, H., Díaz, J. M., &amp; Urrutia, M. (2015). </w:t>
      </w:r>
      <w:r w:rsidRPr="00395FE3">
        <w:rPr>
          <w:rFonts w:ascii="Times New Roman" w:hAnsi="Times New Roman" w:cs="Times New Roman"/>
          <w:sz w:val="24"/>
          <w:szCs w:val="24"/>
          <w:lang w:val="en-US"/>
        </w:rPr>
        <w:t xml:space="preserve">What do students expect to find when they enter Psychology </w:t>
      </w:r>
      <w:proofErr w:type="gramStart"/>
      <w:r w:rsidRPr="00395FE3">
        <w:rPr>
          <w:rFonts w:ascii="Times New Roman" w:hAnsi="Times New Roman" w:cs="Times New Roman"/>
          <w:sz w:val="24"/>
          <w:szCs w:val="24"/>
          <w:lang w:val="en-US"/>
        </w:rPr>
        <w:t>studies?:</w:t>
      </w:r>
      <w:proofErr w:type="gramEnd"/>
      <w:r w:rsidRPr="00395FE3">
        <w:rPr>
          <w:rFonts w:ascii="Times New Roman" w:hAnsi="Times New Roman" w:cs="Times New Roman"/>
          <w:sz w:val="24"/>
          <w:szCs w:val="24"/>
          <w:lang w:val="en-US"/>
        </w:rPr>
        <w:t xml:space="preserve"> goals and personal motives during the first year at </w:t>
      </w:r>
      <w:r w:rsidRPr="00395FE3">
        <w:rPr>
          <w:rFonts w:ascii="Times New Roman" w:hAnsi="Times New Roman" w:cs="Times New Roman"/>
          <w:sz w:val="24"/>
          <w:szCs w:val="24"/>
          <w:lang w:val="en-US"/>
        </w:rPr>
        <w:lastRenderedPageBreak/>
        <w:t xml:space="preserve">university. </w:t>
      </w:r>
      <w:r w:rsidRPr="001E3F4D">
        <w:rPr>
          <w:rFonts w:ascii="Times New Roman" w:hAnsi="Times New Roman" w:cs="Times New Roman"/>
          <w:sz w:val="24"/>
          <w:szCs w:val="24"/>
          <w:lang w:val="es-419"/>
        </w:rPr>
        <w:t xml:space="preserve">Anales de Psicología, 31(2), 589-599. DOI: </w:t>
      </w:r>
      <w:hyperlink r:id="rId6" w:history="1">
        <w:r w:rsidRPr="001E3F4D">
          <w:rPr>
            <w:rFonts w:ascii="Times New Roman" w:hAnsi="Times New Roman" w:cs="Times New Roman"/>
            <w:sz w:val="24"/>
            <w:szCs w:val="24"/>
            <w:lang w:val="es-419"/>
          </w:rPr>
          <w:t>https://dx.doi.org/10.6018/analesps.31.2.171851</w:t>
        </w:r>
      </w:hyperlink>
      <w:r w:rsidRPr="001E3F4D">
        <w:rPr>
          <w:rFonts w:ascii="Times New Roman" w:hAnsi="Times New Roman" w:cs="Times New Roman"/>
          <w:sz w:val="24"/>
          <w:szCs w:val="24"/>
          <w:lang w:val="es-419"/>
        </w:rPr>
        <w:t>.</w:t>
      </w:r>
    </w:p>
    <w:p w14:paraId="4D13E5B1" w14:textId="77777777" w:rsidR="007F3188" w:rsidRPr="001E3F4D" w:rsidRDefault="007F3188" w:rsidP="007F3188">
      <w:pPr>
        <w:ind w:left="709" w:hanging="709"/>
        <w:rPr>
          <w:rFonts w:ascii="Times New Roman" w:hAnsi="Times New Roman" w:cs="Times New Roman"/>
          <w:sz w:val="24"/>
          <w:szCs w:val="24"/>
          <w:lang w:val="en-US"/>
        </w:rPr>
      </w:pPr>
      <w:r w:rsidRPr="001E3F4D">
        <w:rPr>
          <w:rFonts w:ascii="Times New Roman" w:hAnsi="Times New Roman" w:cs="Times New Roman"/>
          <w:sz w:val="24"/>
          <w:szCs w:val="24"/>
          <w:lang w:val="es-419"/>
        </w:rPr>
        <w:t xml:space="preserve">Garrote Rojas, D., Cristina Garrote Rojas, C., &amp; Jiménez Fernández, S. (2016). Factores influyentes en motivación y estrategias de aprendizaje en los alumnos de grado. REICE. Revista Iberoamericana sobre Calidad, Eficacia y Cambio en Educación, 14(2), 31-44. </w:t>
      </w:r>
      <w:r w:rsidRPr="001E3F4D">
        <w:rPr>
          <w:rFonts w:ascii="Times New Roman" w:hAnsi="Times New Roman" w:cs="Times New Roman"/>
          <w:sz w:val="24"/>
          <w:szCs w:val="24"/>
          <w:lang w:val="en-US"/>
        </w:rPr>
        <w:t>Retrieved January 9, 2018, from https://revistas.uam.es/index.php/reice/article/view/3081/4035.</w:t>
      </w:r>
    </w:p>
    <w:p w14:paraId="0F5F87DA" w14:textId="77777777" w:rsidR="007F3188" w:rsidRPr="00395FE3"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 xml:space="preserve">Granados-López, H., </w:t>
      </w:r>
      <w:proofErr w:type="gramStart"/>
      <w:r w:rsidRPr="001E3F4D">
        <w:rPr>
          <w:rFonts w:ascii="Times New Roman" w:hAnsi="Times New Roman" w:cs="Times New Roman"/>
          <w:bCs/>
          <w:sz w:val="24"/>
          <w:szCs w:val="24"/>
        </w:rPr>
        <w:t>Gallego</w:t>
      </w:r>
      <w:proofErr w:type="gramEnd"/>
      <w:r w:rsidRPr="001E3F4D">
        <w:rPr>
          <w:rFonts w:ascii="Times New Roman" w:hAnsi="Times New Roman" w:cs="Times New Roman"/>
          <w:bCs/>
          <w:sz w:val="24"/>
          <w:szCs w:val="24"/>
        </w:rPr>
        <w:t xml:space="preserve">-López, F. A., &amp; Arredondo-Clavijo, D. M. (2017). Asociación y uso de estrategias de aprendizaje en estudiantes de Básica y Media Vocacional. Textos y Sentidos, (15), 29-46.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13, 2018,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w:t>
      </w:r>
      <w:r w:rsidRPr="00395FE3">
        <w:rPr>
          <w:rFonts w:ascii="Times New Roman" w:hAnsi="Times New Roman" w:cs="Times New Roman"/>
          <w:bCs/>
          <w:sz w:val="24"/>
          <w:szCs w:val="24"/>
        </w:rPr>
        <w:t>http://biblioteca.ucp.edu.co/OJS/index.php/textosysentidos/article/view/3253/3493.</w:t>
      </w:r>
    </w:p>
    <w:p w14:paraId="5EEB73C9" w14:textId="77777777" w:rsidR="007F3188" w:rsidRPr="001E3F4D"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 xml:space="preserve">Hernández, A. S., Torres, F., </w:t>
      </w:r>
      <w:proofErr w:type="spellStart"/>
      <w:r w:rsidRPr="001E3F4D">
        <w:rPr>
          <w:rFonts w:ascii="Times New Roman" w:hAnsi="Times New Roman" w:cs="Times New Roman"/>
          <w:bCs/>
          <w:sz w:val="24"/>
          <w:szCs w:val="24"/>
        </w:rPr>
        <w:t>Fang</w:t>
      </w:r>
      <w:proofErr w:type="spellEnd"/>
      <w:r w:rsidRPr="001E3F4D">
        <w:rPr>
          <w:rFonts w:ascii="Times New Roman" w:hAnsi="Times New Roman" w:cs="Times New Roman"/>
          <w:bCs/>
          <w:sz w:val="24"/>
          <w:szCs w:val="24"/>
        </w:rPr>
        <w:t xml:space="preserve">, L. C., &amp; Díaz-Caballero, A. J. (2017). </w:t>
      </w:r>
      <w:r w:rsidRPr="00395FE3">
        <w:rPr>
          <w:rFonts w:ascii="Times New Roman" w:hAnsi="Times New Roman" w:cs="Times New Roman"/>
          <w:bCs/>
          <w:sz w:val="24"/>
          <w:szCs w:val="24"/>
        </w:rPr>
        <w:t xml:space="preserve">Estrategias de aprendizaje en estudiantes de odontología de una universidad pública en Cartagena, Colombia. </w:t>
      </w:r>
      <w:proofErr w:type="spellStart"/>
      <w:r w:rsidRPr="001E3F4D">
        <w:rPr>
          <w:rFonts w:ascii="Times New Roman" w:hAnsi="Times New Roman" w:cs="Times New Roman"/>
          <w:bCs/>
          <w:sz w:val="24"/>
          <w:szCs w:val="24"/>
        </w:rPr>
        <w:t>Universitas</w:t>
      </w:r>
      <w:proofErr w:type="spellEnd"/>
      <w:r w:rsidRPr="001E3F4D">
        <w:rPr>
          <w:rFonts w:ascii="Times New Roman" w:hAnsi="Times New Roman" w:cs="Times New Roman"/>
          <w:bCs/>
          <w:sz w:val="24"/>
          <w:szCs w:val="24"/>
        </w:rPr>
        <w:t xml:space="preserve"> Odontológica 36, 1-20. DOI: http://dx.doi.org/10.11144/Javeriana.uo36-76.eaeo.</w:t>
      </w:r>
    </w:p>
    <w:p w14:paraId="09C5CBB3" w14:textId="77777777" w:rsidR="007F3188" w:rsidRPr="001E3F4D"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 xml:space="preserve">Hernández-Barrios, A., &amp; Camargo-Uribe, A. (2017). </w:t>
      </w:r>
      <w:r w:rsidRPr="00395FE3">
        <w:rPr>
          <w:rFonts w:ascii="Times New Roman" w:hAnsi="Times New Roman" w:cs="Times New Roman"/>
          <w:bCs/>
          <w:sz w:val="24"/>
          <w:szCs w:val="24"/>
        </w:rPr>
        <w:t xml:space="preserve">Adaptación y validación del Inventario de Estrategias de Autorregulación en estudiantes universitarios. </w:t>
      </w:r>
      <w:r w:rsidRPr="001E3F4D">
        <w:rPr>
          <w:rFonts w:ascii="Times New Roman" w:hAnsi="Times New Roman" w:cs="Times New Roman"/>
          <w:bCs/>
          <w:sz w:val="24"/>
          <w:szCs w:val="24"/>
        </w:rPr>
        <w:t>Suma Psicológica 24, 9-16. DOI: https://doi.org/10.1016/j.sumpsi.2017.02.001.</w:t>
      </w:r>
    </w:p>
    <w:p w14:paraId="0424582A" w14:textId="77777777" w:rsidR="007F3188" w:rsidRPr="00395FE3" w:rsidRDefault="007F3188" w:rsidP="007F3188">
      <w:pPr>
        <w:ind w:left="709" w:hanging="709"/>
        <w:rPr>
          <w:rFonts w:ascii="Times New Roman" w:hAnsi="Times New Roman" w:cs="Times New Roman"/>
          <w:sz w:val="24"/>
          <w:szCs w:val="24"/>
        </w:rPr>
      </w:pPr>
      <w:r w:rsidRPr="001E3F4D">
        <w:rPr>
          <w:rFonts w:ascii="Times New Roman" w:hAnsi="Times New Roman" w:cs="Times New Roman"/>
          <w:sz w:val="24"/>
          <w:szCs w:val="24"/>
          <w:lang w:val="es-419"/>
        </w:rPr>
        <w:t xml:space="preserve">León, J., </w:t>
      </w:r>
      <w:proofErr w:type="spellStart"/>
      <w:r w:rsidRPr="001E3F4D">
        <w:rPr>
          <w:rFonts w:ascii="Times New Roman" w:hAnsi="Times New Roman" w:cs="Times New Roman"/>
          <w:sz w:val="24"/>
          <w:szCs w:val="24"/>
          <w:lang w:val="es-419"/>
        </w:rPr>
        <w:t>Núnez</w:t>
      </w:r>
      <w:proofErr w:type="spellEnd"/>
      <w:r w:rsidRPr="001E3F4D">
        <w:rPr>
          <w:rFonts w:ascii="Times New Roman" w:hAnsi="Times New Roman" w:cs="Times New Roman"/>
          <w:sz w:val="24"/>
          <w:szCs w:val="24"/>
          <w:lang w:val="es-419"/>
        </w:rPr>
        <w:t xml:space="preserve">, J. L., Domínguez, E. G., &amp; Martín-Albo, J. (2013). Motivación intrínseca, autoconcepto físico y satisfacción con la vida en practicantes de ejercicio físico: análisis de un modelo de ecuaciones estructurales en el entorno de programación. Revista Iberoamericana de Psicología del Ejercicio y el Deporte, 8(1), 35-53.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11, 2018,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http://www.redalyc.org/articulo.oa?id=311127595003.</w:t>
      </w:r>
    </w:p>
    <w:p w14:paraId="0156F756" w14:textId="77777777" w:rsidR="007F3188" w:rsidRPr="001E3F4D" w:rsidRDefault="007F3188" w:rsidP="007F3188">
      <w:pPr>
        <w:ind w:left="709" w:hanging="709"/>
        <w:rPr>
          <w:rFonts w:ascii="Times New Roman" w:hAnsi="Times New Roman" w:cs="Times New Roman"/>
          <w:color w:val="212121"/>
          <w:sz w:val="24"/>
          <w:szCs w:val="24"/>
          <w:shd w:val="clear" w:color="auto" w:fill="FFFFFF"/>
        </w:rPr>
      </w:pPr>
      <w:r w:rsidRPr="001E3F4D">
        <w:rPr>
          <w:rFonts w:ascii="Times New Roman" w:hAnsi="Times New Roman" w:cs="Times New Roman"/>
          <w:color w:val="212121"/>
          <w:sz w:val="24"/>
          <w:szCs w:val="24"/>
          <w:shd w:val="clear" w:color="auto" w:fill="FFFFFF"/>
        </w:rPr>
        <w:t xml:space="preserve">López-Aguado, M. (2010). Diseño y análisis del Cuestionario de Estrategias de Trabajo Autónomo (CETA) para estudiantes universitarios. Revista </w:t>
      </w:r>
      <w:proofErr w:type="spellStart"/>
      <w:r w:rsidRPr="001E3F4D">
        <w:rPr>
          <w:rFonts w:ascii="Times New Roman" w:hAnsi="Times New Roman" w:cs="Times New Roman"/>
          <w:color w:val="212121"/>
          <w:sz w:val="24"/>
          <w:szCs w:val="24"/>
          <w:shd w:val="clear" w:color="auto" w:fill="FFFFFF"/>
        </w:rPr>
        <w:t>Psicodidáctica</w:t>
      </w:r>
      <w:proofErr w:type="spellEnd"/>
      <w:r w:rsidRPr="001E3F4D">
        <w:rPr>
          <w:rFonts w:ascii="Times New Roman" w:hAnsi="Times New Roman" w:cs="Times New Roman"/>
          <w:color w:val="212121"/>
          <w:sz w:val="24"/>
          <w:szCs w:val="24"/>
          <w:shd w:val="clear" w:color="auto" w:fill="FFFFFF"/>
        </w:rPr>
        <w:t>, 15(1), 150-164.</w:t>
      </w:r>
      <w:r w:rsidRPr="001E3F4D">
        <w:rPr>
          <w:rFonts w:ascii="Times New Roman" w:hAnsi="Times New Roman" w:cs="Times New Roman"/>
          <w:sz w:val="24"/>
          <w:szCs w:val="24"/>
        </w:rPr>
        <w:t xml:space="preserve"> </w:t>
      </w:r>
      <w:proofErr w:type="spellStart"/>
      <w:r w:rsidRPr="001E3F4D">
        <w:rPr>
          <w:rFonts w:ascii="Times New Roman" w:hAnsi="Times New Roman" w:cs="Times New Roman"/>
          <w:sz w:val="24"/>
          <w:szCs w:val="24"/>
        </w:rPr>
        <w:t>Retrieved</w:t>
      </w:r>
      <w:proofErr w:type="spellEnd"/>
      <w:r w:rsidRPr="001E3F4D">
        <w:rPr>
          <w:rFonts w:ascii="Times New Roman" w:hAnsi="Times New Roman" w:cs="Times New Roman"/>
          <w:sz w:val="24"/>
          <w:szCs w:val="24"/>
        </w:rPr>
        <w:t xml:space="preserve"> </w:t>
      </w:r>
      <w:proofErr w:type="spellStart"/>
      <w:r w:rsidRPr="001E3F4D">
        <w:rPr>
          <w:rFonts w:ascii="Times New Roman" w:hAnsi="Times New Roman" w:cs="Times New Roman"/>
          <w:sz w:val="24"/>
          <w:szCs w:val="24"/>
        </w:rPr>
        <w:t>January</w:t>
      </w:r>
      <w:proofErr w:type="spellEnd"/>
      <w:r w:rsidRPr="001E3F4D">
        <w:rPr>
          <w:rFonts w:ascii="Times New Roman" w:hAnsi="Times New Roman" w:cs="Times New Roman"/>
          <w:sz w:val="24"/>
          <w:szCs w:val="24"/>
        </w:rPr>
        <w:t xml:space="preserve"> 10, 2018, </w:t>
      </w:r>
      <w:proofErr w:type="spellStart"/>
      <w:r w:rsidRPr="001E3F4D">
        <w:rPr>
          <w:rFonts w:ascii="Times New Roman" w:hAnsi="Times New Roman" w:cs="Times New Roman"/>
          <w:sz w:val="24"/>
          <w:szCs w:val="24"/>
        </w:rPr>
        <w:t>from</w:t>
      </w:r>
      <w:proofErr w:type="spellEnd"/>
      <w:r w:rsidRPr="001E3F4D">
        <w:rPr>
          <w:rFonts w:ascii="Times New Roman" w:hAnsi="Times New Roman" w:cs="Times New Roman"/>
          <w:color w:val="212121"/>
          <w:sz w:val="24"/>
          <w:szCs w:val="24"/>
          <w:shd w:val="clear" w:color="auto" w:fill="FFFFFF"/>
        </w:rPr>
        <w:t xml:space="preserve"> http://www.redalyc.org/articulo.oa?id=17512968005.</w:t>
      </w:r>
    </w:p>
    <w:p w14:paraId="005B5AF0" w14:textId="77777777" w:rsidR="007F3188" w:rsidRPr="001E3F4D" w:rsidRDefault="007F3188" w:rsidP="007F3188">
      <w:pPr>
        <w:ind w:left="709" w:hanging="709"/>
        <w:rPr>
          <w:rFonts w:ascii="Times New Roman" w:hAnsi="Times New Roman" w:cs="Times New Roman"/>
          <w:sz w:val="24"/>
          <w:szCs w:val="24"/>
          <w:lang w:val="es-419"/>
        </w:rPr>
      </w:pPr>
      <w:r w:rsidRPr="001E3F4D">
        <w:rPr>
          <w:rFonts w:ascii="Times New Roman" w:hAnsi="Times New Roman" w:cs="Times New Roman"/>
          <w:sz w:val="24"/>
          <w:szCs w:val="24"/>
          <w:lang w:val="es-419"/>
        </w:rPr>
        <w:t xml:space="preserve">López-Mora, C., González-Hernández, J., Garcés de los </w:t>
      </w:r>
      <w:proofErr w:type="spellStart"/>
      <w:r w:rsidRPr="001E3F4D">
        <w:rPr>
          <w:rFonts w:ascii="Times New Roman" w:hAnsi="Times New Roman" w:cs="Times New Roman"/>
          <w:sz w:val="24"/>
          <w:szCs w:val="24"/>
          <w:lang w:val="es-419"/>
        </w:rPr>
        <w:t>Fayos</w:t>
      </w:r>
      <w:proofErr w:type="spellEnd"/>
      <w:r w:rsidRPr="001E3F4D">
        <w:rPr>
          <w:rFonts w:ascii="Times New Roman" w:hAnsi="Times New Roman" w:cs="Times New Roman"/>
          <w:sz w:val="24"/>
          <w:szCs w:val="24"/>
          <w:lang w:val="es-419"/>
        </w:rPr>
        <w:t xml:space="preserve">-Ruiz, E. J., &amp; </w:t>
      </w:r>
      <w:proofErr w:type="spellStart"/>
      <w:r w:rsidRPr="001E3F4D">
        <w:rPr>
          <w:rFonts w:ascii="Times New Roman" w:hAnsi="Times New Roman" w:cs="Times New Roman"/>
          <w:sz w:val="24"/>
          <w:szCs w:val="24"/>
          <w:lang w:val="es-419"/>
        </w:rPr>
        <w:t>Portoles</w:t>
      </w:r>
      <w:proofErr w:type="spellEnd"/>
      <w:r w:rsidRPr="001E3F4D">
        <w:rPr>
          <w:rFonts w:ascii="Times New Roman" w:hAnsi="Times New Roman" w:cs="Times New Roman"/>
          <w:sz w:val="24"/>
          <w:szCs w:val="24"/>
          <w:lang w:val="es-419"/>
        </w:rPr>
        <w:t>-Ariño, A. (2017). Versión reducida del cuestionario CMA de Metas para Adolescentes (CMA-R). Revista de Investigación Educativa 35, 445-464. DOI: http://dx.doi.org/10.6018/rie.35.2.226461.</w:t>
      </w:r>
    </w:p>
    <w:p w14:paraId="4BBC619C" w14:textId="77777777" w:rsidR="007F3188" w:rsidRPr="00395FE3" w:rsidRDefault="007F3188" w:rsidP="007F3188">
      <w:pPr>
        <w:ind w:left="709" w:hanging="709"/>
        <w:rPr>
          <w:rFonts w:ascii="Times New Roman" w:hAnsi="Times New Roman" w:cs="Times New Roman"/>
          <w:color w:val="212121"/>
          <w:sz w:val="24"/>
          <w:szCs w:val="24"/>
          <w:shd w:val="clear" w:color="auto" w:fill="FFFFFF"/>
        </w:rPr>
      </w:pPr>
      <w:r w:rsidRPr="001E3F4D">
        <w:rPr>
          <w:rFonts w:ascii="Times New Roman" w:hAnsi="Times New Roman" w:cs="Times New Roman"/>
          <w:color w:val="212121"/>
          <w:sz w:val="24"/>
          <w:szCs w:val="24"/>
          <w:shd w:val="clear" w:color="auto" w:fill="FFFFFF"/>
        </w:rPr>
        <w:lastRenderedPageBreak/>
        <w:t>Martínez-Ortega, R. M., Tuya-</w:t>
      </w:r>
      <w:proofErr w:type="spellStart"/>
      <w:r w:rsidRPr="001E3F4D">
        <w:rPr>
          <w:rFonts w:ascii="Times New Roman" w:hAnsi="Times New Roman" w:cs="Times New Roman"/>
          <w:color w:val="212121"/>
          <w:sz w:val="24"/>
          <w:szCs w:val="24"/>
          <w:shd w:val="clear" w:color="auto" w:fill="FFFFFF"/>
        </w:rPr>
        <w:t>Pendás</w:t>
      </w:r>
      <w:proofErr w:type="spellEnd"/>
      <w:r w:rsidRPr="001E3F4D">
        <w:rPr>
          <w:rFonts w:ascii="Times New Roman" w:hAnsi="Times New Roman" w:cs="Times New Roman"/>
          <w:color w:val="212121"/>
          <w:sz w:val="24"/>
          <w:szCs w:val="24"/>
          <w:shd w:val="clear" w:color="auto" w:fill="FFFFFF"/>
        </w:rPr>
        <w:t xml:space="preserve">, L. C., Martínez-Ortega, M., Pérez-Abreu, A., &amp; Cánovas, A. M. (2009). El coeficiente de correlación de los rangos de Spearman caracterización. Revista Habanera de Ciencias Médicas, 8(2).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8, 2018,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http://scielo.sld.cu/scielo.php?script=sci_arttext&amp;pid=S1729-519X2009000200017&amp;lng=es&amp;nrm=iso&amp;tlng=es.</w:t>
      </w:r>
    </w:p>
    <w:p w14:paraId="14F97A66" w14:textId="77777777" w:rsidR="007F3188" w:rsidRPr="001E3F4D" w:rsidRDefault="001326F9" w:rsidP="007F3188">
      <w:pPr>
        <w:ind w:left="709" w:hanging="709"/>
        <w:rPr>
          <w:rFonts w:ascii="Times New Roman" w:hAnsi="Times New Roman" w:cs="Times New Roman"/>
          <w:bCs/>
          <w:sz w:val="24"/>
          <w:szCs w:val="24"/>
        </w:rPr>
      </w:pPr>
      <w:hyperlink r:id="rId7" w:anchor="!" w:history="1">
        <w:r w:rsidR="007F3188" w:rsidRPr="001E3F4D">
          <w:rPr>
            <w:rFonts w:ascii="Times New Roman" w:hAnsi="Times New Roman" w:cs="Times New Roman"/>
            <w:bCs/>
            <w:sz w:val="24"/>
            <w:szCs w:val="24"/>
          </w:rPr>
          <w:t>Navea-Martín</w:t>
        </w:r>
      </w:hyperlink>
      <w:r w:rsidR="007F3188" w:rsidRPr="001E3F4D">
        <w:rPr>
          <w:rFonts w:ascii="Times New Roman" w:hAnsi="Times New Roman" w:cs="Times New Roman"/>
          <w:bCs/>
          <w:sz w:val="24"/>
          <w:szCs w:val="24"/>
        </w:rPr>
        <w:t xml:space="preserve">, A. (2017). El aprendizaje autorregulado en estudiantes de ciencias de la salud: recomendaciones de mejora de la práctica educativa. Educación médica (in </w:t>
      </w:r>
      <w:proofErr w:type="spellStart"/>
      <w:r w:rsidR="007F3188" w:rsidRPr="001E3F4D">
        <w:rPr>
          <w:rFonts w:ascii="Times New Roman" w:hAnsi="Times New Roman" w:cs="Times New Roman"/>
          <w:bCs/>
          <w:sz w:val="24"/>
          <w:szCs w:val="24"/>
        </w:rPr>
        <w:t>press</w:t>
      </w:r>
      <w:proofErr w:type="spellEnd"/>
      <w:r w:rsidR="007F3188" w:rsidRPr="001E3F4D">
        <w:rPr>
          <w:rFonts w:ascii="Times New Roman" w:hAnsi="Times New Roman" w:cs="Times New Roman"/>
          <w:bCs/>
          <w:sz w:val="24"/>
          <w:szCs w:val="24"/>
        </w:rPr>
        <w:t>). DOI: https://doi.org/10.1016/j.edumed.2016.12.012.</w:t>
      </w:r>
    </w:p>
    <w:p w14:paraId="41D9452A" w14:textId="77777777" w:rsidR="007F3188" w:rsidRPr="001E3F4D" w:rsidRDefault="007F3188" w:rsidP="007F3188">
      <w:pPr>
        <w:ind w:left="709" w:hanging="709"/>
        <w:rPr>
          <w:rFonts w:ascii="Times New Roman" w:hAnsi="Times New Roman" w:cs="Times New Roman"/>
          <w:sz w:val="24"/>
          <w:szCs w:val="24"/>
          <w:lang w:val="en-US"/>
        </w:rPr>
      </w:pPr>
      <w:r w:rsidRPr="001E3F4D">
        <w:rPr>
          <w:rFonts w:ascii="Times New Roman" w:hAnsi="Times New Roman" w:cs="Times New Roman"/>
          <w:sz w:val="24"/>
          <w:szCs w:val="24"/>
          <w:lang w:val="es-419"/>
        </w:rPr>
        <w:t xml:space="preserve">Núñez, J. C., </w:t>
      </w:r>
      <w:proofErr w:type="spellStart"/>
      <w:r w:rsidRPr="001E3F4D">
        <w:rPr>
          <w:rFonts w:ascii="Times New Roman" w:hAnsi="Times New Roman" w:cs="Times New Roman"/>
          <w:sz w:val="24"/>
          <w:szCs w:val="24"/>
          <w:lang w:val="es-419"/>
        </w:rPr>
        <w:t>Amieiro</w:t>
      </w:r>
      <w:proofErr w:type="spellEnd"/>
      <w:r w:rsidRPr="001E3F4D">
        <w:rPr>
          <w:rFonts w:ascii="Times New Roman" w:hAnsi="Times New Roman" w:cs="Times New Roman"/>
          <w:sz w:val="24"/>
          <w:szCs w:val="24"/>
          <w:lang w:val="es-419"/>
        </w:rPr>
        <w:t xml:space="preserve">, N., Álvarez, D., García, T., &amp; </w:t>
      </w:r>
      <w:proofErr w:type="spellStart"/>
      <w:r w:rsidRPr="001E3F4D">
        <w:rPr>
          <w:rFonts w:ascii="Times New Roman" w:hAnsi="Times New Roman" w:cs="Times New Roman"/>
          <w:sz w:val="24"/>
          <w:szCs w:val="24"/>
          <w:lang w:val="es-419"/>
        </w:rPr>
        <w:t>Dobarro</w:t>
      </w:r>
      <w:proofErr w:type="spellEnd"/>
      <w:r w:rsidRPr="001E3F4D">
        <w:rPr>
          <w:rFonts w:ascii="Times New Roman" w:hAnsi="Times New Roman" w:cs="Times New Roman"/>
          <w:sz w:val="24"/>
          <w:szCs w:val="24"/>
          <w:lang w:val="es-419"/>
        </w:rPr>
        <w:t xml:space="preserve">, A. (2015). Escala de Evaluación de la Autorregulación del Aprendizaje a partir de Textos (ARATEX-R). </w:t>
      </w:r>
      <w:r w:rsidRPr="001E3F4D">
        <w:rPr>
          <w:rFonts w:ascii="Times New Roman" w:hAnsi="Times New Roman" w:cs="Times New Roman"/>
          <w:sz w:val="24"/>
          <w:szCs w:val="24"/>
          <w:lang w:val="en-US"/>
        </w:rPr>
        <w:t>European Journal of Education and Psychology 8, 9-22. DOI: https://doi.org/10.1016/j.ejeps.2015.10.002.</w:t>
      </w:r>
    </w:p>
    <w:p w14:paraId="473F393E" w14:textId="77777777" w:rsidR="007F3188" w:rsidRPr="001E3F4D" w:rsidRDefault="007F3188" w:rsidP="007F3188">
      <w:pPr>
        <w:ind w:left="709" w:hanging="709"/>
        <w:rPr>
          <w:rFonts w:ascii="Times New Roman" w:hAnsi="Times New Roman" w:cs="Times New Roman"/>
          <w:bCs/>
          <w:sz w:val="24"/>
          <w:szCs w:val="24"/>
        </w:rPr>
      </w:pPr>
      <w:r w:rsidRPr="00395FE3">
        <w:rPr>
          <w:rFonts w:ascii="Times New Roman" w:hAnsi="Times New Roman" w:cs="Times New Roman"/>
          <w:bCs/>
          <w:sz w:val="24"/>
          <w:szCs w:val="24"/>
        </w:rPr>
        <w:t xml:space="preserve">Panadero, E., &amp; Alonso-Tapia, J. (2014). </w:t>
      </w:r>
      <w:r w:rsidRPr="001E3F4D">
        <w:rPr>
          <w:rFonts w:ascii="Times New Roman" w:hAnsi="Times New Roman" w:cs="Times New Roman"/>
          <w:bCs/>
          <w:sz w:val="24"/>
          <w:szCs w:val="24"/>
        </w:rPr>
        <w:t>Teorías de autorregulación educativa: una comparación y reflexión teórica. Psicología Educativa 20, 11-22. DOI: https://doi.org/10.1016/j.pse.2014.05.002.</w:t>
      </w:r>
    </w:p>
    <w:p w14:paraId="5F83E952" w14:textId="77777777" w:rsidR="007F3188" w:rsidRPr="00395FE3" w:rsidRDefault="007F3188" w:rsidP="007F3188">
      <w:pPr>
        <w:ind w:left="709" w:hanging="709"/>
        <w:rPr>
          <w:rFonts w:ascii="Times New Roman" w:hAnsi="Times New Roman" w:cs="Times New Roman"/>
          <w:sz w:val="24"/>
          <w:szCs w:val="24"/>
        </w:rPr>
      </w:pPr>
      <w:r w:rsidRPr="001E3F4D">
        <w:rPr>
          <w:rFonts w:ascii="Times New Roman" w:hAnsi="Times New Roman" w:cs="Times New Roman"/>
          <w:sz w:val="24"/>
          <w:szCs w:val="24"/>
          <w:lang w:val="es-419"/>
        </w:rPr>
        <w:t xml:space="preserve">Paz, H. (2014). Aprendizaje autónomo y estilo cognitivo: diseño didáctico, metodología y evaluación. Revista Educación en Ingeniería, 9(17), 53-65.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10, 2018,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https://www.educacioneningenieria.org/index.php/edi/article/view/421/194.</w:t>
      </w:r>
    </w:p>
    <w:p w14:paraId="629ADAE9" w14:textId="77777777" w:rsidR="007F3188" w:rsidRPr="00395FE3" w:rsidRDefault="007F3188" w:rsidP="007F3188">
      <w:pPr>
        <w:ind w:left="709" w:hanging="709"/>
        <w:rPr>
          <w:rFonts w:ascii="Times New Roman" w:hAnsi="Times New Roman" w:cs="Times New Roman"/>
          <w:color w:val="212121"/>
          <w:sz w:val="24"/>
          <w:szCs w:val="24"/>
          <w:shd w:val="clear" w:color="auto" w:fill="FFFFFF"/>
        </w:rPr>
      </w:pPr>
      <w:r w:rsidRPr="001E3F4D">
        <w:rPr>
          <w:rFonts w:ascii="Times New Roman" w:hAnsi="Times New Roman" w:cs="Times New Roman"/>
          <w:color w:val="212121"/>
          <w:sz w:val="24"/>
          <w:szCs w:val="24"/>
          <w:shd w:val="clear" w:color="auto" w:fill="FFFFFF"/>
        </w:rPr>
        <w:t>Pulido-</w:t>
      </w:r>
      <w:proofErr w:type="spellStart"/>
      <w:r w:rsidRPr="001E3F4D">
        <w:rPr>
          <w:rFonts w:ascii="Times New Roman" w:hAnsi="Times New Roman" w:cs="Times New Roman"/>
          <w:color w:val="212121"/>
          <w:sz w:val="24"/>
          <w:szCs w:val="24"/>
          <w:shd w:val="clear" w:color="auto" w:fill="FFFFFF"/>
        </w:rPr>
        <w:t>Rull</w:t>
      </w:r>
      <w:proofErr w:type="spellEnd"/>
      <w:r w:rsidRPr="001E3F4D">
        <w:rPr>
          <w:rFonts w:ascii="Times New Roman" w:hAnsi="Times New Roman" w:cs="Times New Roman"/>
          <w:color w:val="212121"/>
          <w:sz w:val="24"/>
          <w:szCs w:val="24"/>
          <w:shd w:val="clear" w:color="auto" w:fill="FFFFFF"/>
        </w:rPr>
        <w:t xml:space="preserve">, M. A., Serrano-Sánchez, M. L., Valdés-Cano, E., Chávez-Méndez, M. T., Hidalgo-Montiel, P., &amp; Vera-García, F. (2011). Estrés académico en estudiantes universitarios. Psicología y Salud, 21(1), 31-37.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4, 2018,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https://www.uv.mx/psicysalud/psicysalud-21-1/21-1/Marco-Antonio-Pulido-Rull.pdf.</w:t>
      </w:r>
    </w:p>
    <w:p w14:paraId="69CCFA9A" w14:textId="77777777" w:rsidR="007F3188" w:rsidRPr="00395FE3" w:rsidRDefault="007F3188" w:rsidP="007F3188">
      <w:pPr>
        <w:ind w:left="709" w:hanging="709"/>
        <w:rPr>
          <w:rFonts w:ascii="Times New Roman" w:hAnsi="Times New Roman" w:cs="Times New Roman"/>
          <w:sz w:val="24"/>
          <w:szCs w:val="24"/>
        </w:rPr>
      </w:pPr>
      <w:r w:rsidRPr="001E3F4D">
        <w:rPr>
          <w:rFonts w:ascii="Times New Roman" w:hAnsi="Times New Roman" w:cs="Times New Roman"/>
          <w:color w:val="212121"/>
          <w:sz w:val="24"/>
          <w:szCs w:val="24"/>
          <w:shd w:val="clear" w:color="auto" w:fill="FFFFFF"/>
        </w:rPr>
        <w:t xml:space="preserve">Ramírez-Fernández, E. (2016). Introducción a la Psicología. Tema 4. El método observacional.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6, 2018,</w:t>
      </w:r>
      <w:r w:rsidRPr="00395FE3">
        <w:rPr>
          <w:rFonts w:ascii="Times New Roman" w:hAnsi="Times New Roman" w:cs="Times New Roman"/>
          <w:color w:val="212121"/>
          <w:sz w:val="24"/>
          <w:szCs w:val="24"/>
          <w:shd w:val="clear" w:color="auto" w:fill="FFFFFF"/>
        </w:rPr>
        <w:t xml:space="preserve"> </w:t>
      </w:r>
      <w:proofErr w:type="spellStart"/>
      <w:r w:rsidRPr="00395FE3">
        <w:rPr>
          <w:rFonts w:ascii="Times New Roman" w:hAnsi="Times New Roman" w:cs="Times New Roman"/>
          <w:color w:val="212121"/>
          <w:sz w:val="24"/>
          <w:szCs w:val="24"/>
          <w:shd w:val="clear" w:color="auto" w:fill="FFFFFF"/>
        </w:rPr>
        <w:t>from</w:t>
      </w:r>
      <w:proofErr w:type="spellEnd"/>
      <w:r w:rsidRPr="00395FE3">
        <w:rPr>
          <w:rFonts w:ascii="Times New Roman" w:hAnsi="Times New Roman" w:cs="Times New Roman"/>
          <w:color w:val="212121"/>
          <w:sz w:val="24"/>
          <w:szCs w:val="24"/>
          <w:shd w:val="clear" w:color="auto" w:fill="FFFFFF"/>
        </w:rPr>
        <w:t xml:space="preserve"> Universidad de Jaén Web </w:t>
      </w:r>
      <w:proofErr w:type="spellStart"/>
      <w:r w:rsidRPr="00395FE3">
        <w:rPr>
          <w:rFonts w:ascii="Times New Roman" w:hAnsi="Times New Roman" w:cs="Times New Roman"/>
          <w:color w:val="212121"/>
          <w:sz w:val="24"/>
          <w:szCs w:val="24"/>
          <w:shd w:val="clear" w:color="auto" w:fill="FFFFFF"/>
        </w:rPr>
        <w:t>site</w:t>
      </w:r>
      <w:proofErr w:type="spellEnd"/>
      <w:r w:rsidRPr="00395FE3">
        <w:rPr>
          <w:rFonts w:ascii="Times New Roman" w:hAnsi="Times New Roman" w:cs="Times New Roman"/>
          <w:color w:val="212121"/>
          <w:sz w:val="24"/>
          <w:szCs w:val="24"/>
          <w:shd w:val="clear" w:color="auto" w:fill="FFFFFF"/>
        </w:rPr>
        <w:t>: http://www4.ujaen.es/~eramirez/Descargas/tema4.</w:t>
      </w:r>
    </w:p>
    <w:p w14:paraId="77B6DD9A" w14:textId="77777777" w:rsidR="007F3188" w:rsidRPr="001E3F4D" w:rsidRDefault="007F3188" w:rsidP="007F3188">
      <w:pPr>
        <w:ind w:left="709" w:hanging="709"/>
        <w:rPr>
          <w:rFonts w:ascii="Times New Roman" w:hAnsi="Times New Roman" w:cs="Times New Roman"/>
          <w:bCs/>
          <w:sz w:val="24"/>
          <w:szCs w:val="24"/>
          <w:lang w:val="en-US"/>
        </w:rPr>
      </w:pPr>
      <w:proofErr w:type="spellStart"/>
      <w:r w:rsidRPr="001E3F4D">
        <w:rPr>
          <w:rFonts w:ascii="Times New Roman" w:hAnsi="Times New Roman" w:cs="Times New Roman"/>
          <w:bCs/>
          <w:sz w:val="24"/>
          <w:szCs w:val="24"/>
        </w:rPr>
        <w:t>Regueiro</w:t>
      </w:r>
      <w:proofErr w:type="spellEnd"/>
      <w:r w:rsidRPr="001E3F4D">
        <w:rPr>
          <w:rFonts w:ascii="Times New Roman" w:hAnsi="Times New Roman" w:cs="Times New Roman"/>
          <w:bCs/>
          <w:sz w:val="24"/>
          <w:szCs w:val="24"/>
        </w:rPr>
        <w:t xml:space="preserve">, B., Rodríguez, S., Piñeiro, I., Estévez, I., Ferradas, M., &amp; Suárez, N. (2015). Diferencias en la percepción de la implicación parental en los deberes escolares en función del nivel de motivación de los estudiantes. </w:t>
      </w:r>
      <w:r w:rsidRPr="001E3F4D">
        <w:rPr>
          <w:rFonts w:ascii="Times New Roman" w:hAnsi="Times New Roman" w:cs="Times New Roman"/>
          <w:bCs/>
          <w:sz w:val="24"/>
          <w:szCs w:val="24"/>
          <w:lang w:val="en-US"/>
        </w:rPr>
        <w:t xml:space="preserve">European Journal of Investigation in Health, Psychology and Education, 5(3), 313-323. </w:t>
      </w:r>
      <w:r w:rsidRPr="001E3F4D">
        <w:rPr>
          <w:rFonts w:ascii="Times New Roman" w:hAnsi="Times New Roman" w:cs="Times New Roman"/>
          <w:sz w:val="24"/>
          <w:szCs w:val="24"/>
          <w:lang w:val="en-US"/>
        </w:rPr>
        <w:t>Retrieved January 3, 2018, from https://formacionasunivep.com/ejihpe/index.php/ejihpe/article/view/134.</w:t>
      </w:r>
    </w:p>
    <w:p w14:paraId="3D606038" w14:textId="77777777" w:rsidR="007F3188" w:rsidRPr="001E3F4D" w:rsidRDefault="007F3188" w:rsidP="007F3188">
      <w:pPr>
        <w:ind w:left="709" w:hanging="709"/>
        <w:rPr>
          <w:rFonts w:ascii="Times New Roman" w:hAnsi="Times New Roman" w:cs="Times New Roman"/>
          <w:bCs/>
          <w:sz w:val="24"/>
          <w:szCs w:val="24"/>
          <w:lang w:val="en-US"/>
        </w:rPr>
      </w:pPr>
      <w:r w:rsidRPr="001E3F4D">
        <w:rPr>
          <w:rFonts w:ascii="Times New Roman" w:hAnsi="Times New Roman" w:cs="Times New Roman"/>
          <w:bCs/>
          <w:sz w:val="24"/>
          <w:szCs w:val="24"/>
        </w:rPr>
        <w:lastRenderedPageBreak/>
        <w:t xml:space="preserve">Rodríguez, S., Piñeiro, I., </w:t>
      </w:r>
      <w:proofErr w:type="spellStart"/>
      <w:r w:rsidRPr="001E3F4D">
        <w:rPr>
          <w:rFonts w:ascii="Times New Roman" w:hAnsi="Times New Roman" w:cs="Times New Roman"/>
          <w:bCs/>
          <w:sz w:val="24"/>
          <w:szCs w:val="24"/>
        </w:rPr>
        <w:t>Regueiro</w:t>
      </w:r>
      <w:proofErr w:type="spellEnd"/>
      <w:r w:rsidRPr="001E3F4D">
        <w:rPr>
          <w:rFonts w:ascii="Times New Roman" w:hAnsi="Times New Roman" w:cs="Times New Roman"/>
          <w:bCs/>
          <w:sz w:val="24"/>
          <w:szCs w:val="24"/>
        </w:rPr>
        <w:t xml:space="preserve">, B., Gayo, B., &amp; Valle, A. (2014). Metas académicas, estrategias de aprendizaje y rendimiento académico en educación secundaria. </w:t>
      </w:r>
      <w:hyperlink r:id="rId8" w:tooltip="Go to Magister on ScienceDirect" w:history="1">
        <w:r w:rsidRPr="001E3F4D">
          <w:rPr>
            <w:rFonts w:ascii="Times New Roman" w:hAnsi="Times New Roman" w:cs="Times New Roman"/>
            <w:bCs/>
            <w:sz w:val="24"/>
            <w:szCs w:val="24"/>
            <w:lang w:val="en-US"/>
          </w:rPr>
          <w:t>Magister</w:t>
        </w:r>
      </w:hyperlink>
      <w:r w:rsidRPr="001E3F4D">
        <w:rPr>
          <w:rFonts w:ascii="Times New Roman" w:hAnsi="Times New Roman" w:cs="Times New Roman"/>
          <w:bCs/>
          <w:sz w:val="24"/>
          <w:szCs w:val="24"/>
          <w:lang w:val="en-US"/>
        </w:rPr>
        <w:t xml:space="preserve"> 26, 1-9. DOI: https://doi.org/10.1016/S0212-6796(14)70012-X.</w:t>
      </w:r>
    </w:p>
    <w:p w14:paraId="3558272D" w14:textId="77777777" w:rsidR="007F3188" w:rsidRPr="00395FE3"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lang w:val="en-US"/>
        </w:rPr>
        <w:t>Schunk, D., &amp; Zimmerman, B. (2008) Motivation and self-</w:t>
      </w:r>
      <w:proofErr w:type="spellStart"/>
      <w:r w:rsidRPr="001E3F4D">
        <w:rPr>
          <w:rFonts w:ascii="Times New Roman" w:hAnsi="Times New Roman" w:cs="Times New Roman"/>
          <w:bCs/>
          <w:sz w:val="24"/>
          <w:szCs w:val="24"/>
          <w:lang w:val="en-US"/>
        </w:rPr>
        <w:t>regu</w:t>
      </w:r>
      <w:proofErr w:type="spellEnd"/>
      <w:r w:rsidRPr="001E3F4D">
        <w:rPr>
          <w:rFonts w:ascii="Times New Roman" w:hAnsi="Times New Roman" w:cs="Times New Roman"/>
          <w:bCs/>
          <w:sz w:val="24"/>
          <w:szCs w:val="24"/>
          <w:lang w:val="en-US"/>
        </w:rPr>
        <w:t xml:space="preserve">- </w:t>
      </w:r>
      <w:proofErr w:type="spellStart"/>
      <w:r w:rsidRPr="001E3F4D">
        <w:rPr>
          <w:rFonts w:ascii="Times New Roman" w:hAnsi="Times New Roman" w:cs="Times New Roman"/>
          <w:bCs/>
          <w:sz w:val="24"/>
          <w:szCs w:val="24"/>
          <w:lang w:val="en-US"/>
        </w:rPr>
        <w:t>lated</w:t>
      </w:r>
      <w:proofErr w:type="spellEnd"/>
      <w:r w:rsidRPr="001E3F4D">
        <w:rPr>
          <w:rFonts w:ascii="Times New Roman" w:hAnsi="Times New Roman" w:cs="Times New Roman"/>
          <w:bCs/>
          <w:sz w:val="24"/>
          <w:szCs w:val="24"/>
          <w:lang w:val="en-US"/>
        </w:rPr>
        <w:t xml:space="preserve"> learning: theory, research and applications. </w:t>
      </w:r>
      <w:r w:rsidRPr="00395FE3">
        <w:rPr>
          <w:rFonts w:ascii="Times New Roman" w:hAnsi="Times New Roman" w:cs="Times New Roman"/>
          <w:bCs/>
          <w:sz w:val="24"/>
          <w:szCs w:val="24"/>
        </w:rPr>
        <w:t xml:space="preserve">(Nueva York: Lawrence </w:t>
      </w:r>
      <w:proofErr w:type="spellStart"/>
      <w:r w:rsidRPr="00395FE3">
        <w:rPr>
          <w:rFonts w:ascii="Times New Roman" w:hAnsi="Times New Roman" w:cs="Times New Roman"/>
          <w:bCs/>
          <w:sz w:val="24"/>
          <w:szCs w:val="24"/>
        </w:rPr>
        <w:t>Erlbaum</w:t>
      </w:r>
      <w:proofErr w:type="spellEnd"/>
      <w:r w:rsidRPr="00395FE3">
        <w:rPr>
          <w:rFonts w:ascii="Times New Roman" w:hAnsi="Times New Roman" w:cs="Times New Roman"/>
          <w:bCs/>
          <w:sz w:val="24"/>
          <w:szCs w:val="24"/>
        </w:rPr>
        <w:t>).</w:t>
      </w:r>
    </w:p>
    <w:p w14:paraId="11E3B33B" w14:textId="77777777" w:rsidR="007F3188" w:rsidRPr="001E3F4D"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Suárez-</w:t>
      </w:r>
      <w:proofErr w:type="spellStart"/>
      <w:r w:rsidRPr="001E3F4D">
        <w:rPr>
          <w:rFonts w:ascii="Times New Roman" w:hAnsi="Times New Roman" w:cs="Times New Roman"/>
          <w:bCs/>
          <w:sz w:val="24"/>
          <w:szCs w:val="24"/>
        </w:rPr>
        <w:t>Riveiro</w:t>
      </w:r>
      <w:proofErr w:type="spellEnd"/>
      <w:r w:rsidRPr="001E3F4D">
        <w:rPr>
          <w:rFonts w:ascii="Times New Roman" w:hAnsi="Times New Roman" w:cs="Times New Roman"/>
          <w:bCs/>
          <w:sz w:val="24"/>
          <w:szCs w:val="24"/>
        </w:rPr>
        <w:t>, J. M., Fernández-Suárez, A. P., Rubio-Sánchez, V., &amp; Zamora-Menéndez, Á. (2016). Incidencia de las estrategias motivacionales de valor sobre las estrategias cognitivas y metacognitivas en estudiantes de secundaria. Revista Complutense de Educación, 27(2), 421-435.</w:t>
      </w:r>
      <w:r w:rsidRPr="001E3F4D">
        <w:rPr>
          <w:rFonts w:ascii="Times New Roman" w:hAnsi="Times New Roman" w:cs="Times New Roman"/>
          <w:sz w:val="24"/>
          <w:szCs w:val="24"/>
        </w:rPr>
        <w:t xml:space="preserve"> </w:t>
      </w:r>
      <w:proofErr w:type="spellStart"/>
      <w:r w:rsidRPr="001E3F4D">
        <w:rPr>
          <w:rFonts w:ascii="Times New Roman" w:hAnsi="Times New Roman" w:cs="Times New Roman"/>
          <w:sz w:val="24"/>
          <w:szCs w:val="24"/>
        </w:rPr>
        <w:t>Retrieved</w:t>
      </w:r>
      <w:proofErr w:type="spellEnd"/>
      <w:r w:rsidRPr="001E3F4D">
        <w:rPr>
          <w:rFonts w:ascii="Times New Roman" w:hAnsi="Times New Roman" w:cs="Times New Roman"/>
          <w:sz w:val="24"/>
          <w:szCs w:val="24"/>
        </w:rPr>
        <w:t xml:space="preserve"> </w:t>
      </w:r>
      <w:proofErr w:type="spellStart"/>
      <w:r w:rsidRPr="001E3F4D">
        <w:rPr>
          <w:rFonts w:ascii="Times New Roman" w:hAnsi="Times New Roman" w:cs="Times New Roman"/>
          <w:sz w:val="24"/>
          <w:szCs w:val="24"/>
        </w:rPr>
        <w:t>January</w:t>
      </w:r>
      <w:proofErr w:type="spellEnd"/>
      <w:r w:rsidRPr="001E3F4D">
        <w:rPr>
          <w:rFonts w:ascii="Times New Roman" w:hAnsi="Times New Roman" w:cs="Times New Roman"/>
          <w:sz w:val="24"/>
          <w:szCs w:val="24"/>
        </w:rPr>
        <w:t xml:space="preserve"> 7, 2018, </w:t>
      </w:r>
      <w:proofErr w:type="spellStart"/>
      <w:r w:rsidRPr="001E3F4D">
        <w:rPr>
          <w:rFonts w:ascii="Times New Roman" w:hAnsi="Times New Roman" w:cs="Times New Roman"/>
          <w:sz w:val="24"/>
          <w:szCs w:val="24"/>
        </w:rPr>
        <w:t>from</w:t>
      </w:r>
      <w:proofErr w:type="spellEnd"/>
      <w:r w:rsidRPr="001E3F4D">
        <w:rPr>
          <w:rFonts w:ascii="Times New Roman" w:hAnsi="Times New Roman" w:cs="Times New Roman"/>
          <w:sz w:val="24"/>
          <w:szCs w:val="24"/>
        </w:rPr>
        <w:t xml:space="preserve"> http://www.ingentaconnect.com/content/doaj/11302496/2016/00000027/00000002/art00002</w:t>
      </w:r>
      <w:r w:rsidRPr="001E3F4D">
        <w:rPr>
          <w:rFonts w:ascii="Times New Roman" w:hAnsi="Times New Roman" w:cs="Times New Roman"/>
          <w:bCs/>
          <w:sz w:val="24"/>
          <w:szCs w:val="24"/>
        </w:rPr>
        <w:t>.</w:t>
      </w:r>
    </w:p>
    <w:p w14:paraId="675F95A7" w14:textId="77777777" w:rsidR="007F3188" w:rsidRPr="001E3F4D" w:rsidRDefault="007F3188" w:rsidP="007F3188">
      <w:pPr>
        <w:ind w:left="709" w:hanging="709"/>
        <w:rPr>
          <w:rFonts w:ascii="Times New Roman" w:hAnsi="Times New Roman" w:cs="Times New Roman"/>
          <w:bCs/>
          <w:sz w:val="24"/>
          <w:szCs w:val="24"/>
          <w:lang w:val="en-US"/>
        </w:rPr>
      </w:pPr>
      <w:proofErr w:type="spellStart"/>
      <w:r w:rsidRPr="001E3F4D">
        <w:rPr>
          <w:rFonts w:ascii="Times New Roman" w:hAnsi="Times New Roman" w:cs="Times New Roman"/>
          <w:bCs/>
          <w:sz w:val="24"/>
          <w:szCs w:val="24"/>
        </w:rPr>
        <w:t>Torrano</w:t>
      </w:r>
      <w:proofErr w:type="spellEnd"/>
      <w:r w:rsidRPr="001E3F4D">
        <w:rPr>
          <w:rFonts w:ascii="Times New Roman" w:hAnsi="Times New Roman" w:cs="Times New Roman"/>
          <w:bCs/>
          <w:sz w:val="24"/>
          <w:szCs w:val="24"/>
        </w:rPr>
        <w:t xml:space="preserve">, F., Fuentes, J. L., &amp; Soria, M. (2017). Aprendizaje autorregulado: estado de la cuestión y retos psicopedagógicos. </w:t>
      </w:r>
      <w:proofErr w:type="spellStart"/>
      <w:r w:rsidRPr="00395FE3">
        <w:rPr>
          <w:rFonts w:ascii="Times New Roman" w:hAnsi="Times New Roman" w:cs="Times New Roman"/>
          <w:bCs/>
          <w:sz w:val="24"/>
          <w:szCs w:val="24"/>
          <w:lang w:val="en-US"/>
        </w:rPr>
        <w:t>Perfiles</w:t>
      </w:r>
      <w:proofErr w:type="spellEnd"/>
      <w:r w:rsidRPr="00395FE3">
        <w:rPr>
          <w:rFonts w:ascii="Times New Roman" w:hAnsi="Times New Roman" w:cs="Times New Roman"/>
          <w:bCs/>
          <w:sz w:val="24"/>
          <w:szCs w:val="24"/>
          <w:lang w:val="en-US"/>
        </w:rPr>
        <w:t xml:space="preserve"> </w:t>
      </w:r>
      <w:proofErr w:type="spellStart"/>
      <w:r w:rsidRPr="00395FE3">
        <w:rPr>
          <w:rFonts w:ascii="Times New Roman" w:hAnsi="Times New Roman" w:cs="Times New Roman"/>
          <w:bCs/>
          <w:sz w:val="24"/>
          <w:szCs w:val="24"/>
          <w:lang w:val="en-US"/>
        </w:rPr>
        <w:t>educativos</w:t>
      </w:r>
      <w:proofErr w:type="spellEnd"/>
      <w:r w:rsidRPr="00395FE3">
        <w:rPr>
          <w:rFonts w:ascii="Times New Roman" w:hAnsi="Times New Roman" w:cs="Times New Roman"/>
          <w:bCs/>
          <w:sz w:val="24"/>
          <w:szCs w:val="24"/>
          <w:lang w:val="en-US"/>
        </w:rPr>
        <w:t xml:space="preserve">, 39(156), 160-173. </w:t>
      </w:r>
      <w:r w:rsidRPr="001E3F4D">
        <w:rPr>
          <w:rFonts w:ascii="Times New Roman" w:hAnsi="Times New Roman" w:cs="Times New Roman"/>
          <w:sz w:val="24"/>
          <w:szCs w:val="24"/>
          <w:lang w:val="en-US"/>
        </w:rPr>
        <w:t>Retrieved January 3, 2018, from</w:t>
      </w:r>
      <w:r w:rsidRPr="001E3F4D">
        <w:rPr>
          <w:rFonts w:ascii="Times New Roman" w:hAnsi="Times New Roman" w:cs="Times New Roman"/>
          <w:bCs/>
          <w:sz w:val="24"/>
          <w:szCs w:val="24"/>
          <w:lang w:val="en-US"/>
        </w:rPr>
        <w:t xml:space="preserve"> http://www.scielo.org.mx/scielo.php?script=sci_arttext&amp;pid=S0185-26982017000200160&amp;lng=es&amp;tlng=es.</w:t>
      </w:r>
    </w:p>
    <w:p w14:paraId="58FD22D9" w14:textId="77777777" w:rsidR="007F3188" w:rsidRPr="00395FE3"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 xml:space="preserve">Uribe-Meneses, A. (2012). Características del aprendizaje autónomo de los estudiantes del programa de enfermería de la Universidad de Pamplona. Revista Ciencia y Cuidado, 9(1), 24-33.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8, 2018,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http://revistas.ufps.edu.co/ojs/index.php/cienciaycuidado/article/view/451/471.</w:t>
      </w:r>
    </w:p>
    <w:p w14:paraId="022ED05A" w14:textId="77777777" w:rsidR="007F3188" w:rsidRPr="00395FE3" w:rsidRDefault="007F3188" w:rsidP="007F3188">
      <w:pPr>
        <w:ind w:left="709" w:hanging="709"/>
        <w:rPr>
          <w:rFonts w:ascii="Times New Roman" w:hAnsi="Times New Roman" w:cs="Times New Roman"/>
          <w:sz w:val="24"/>
          <w:szCs w:val="24"/>
        </w:rPr>
      </w:pPr>
      <w:r w:rsidRPr="001E3F4D">
        <w:rPr>
          <w:rFonts w:ascii="Times New Roman" w:hAnsi="Times New Roman" w:cs="Times New Roman"/>
          <w:sz w:val="24"/>
          <w:szCs w:val="24"/>
          <w:lang w:val="es-419"/>
        </w:rPr>
        <w:t xml:space="preserve">Valencia-Serrano, M., Duarte-Soto, J., &amp; Caicedo-Tamayo, A. M. (2013). Aprendizaje autorregulador, metas académicas y rendimiento en evaluaciones de estudiantes universitarios. Pensamiento Psicológico, 11(2), 53-70.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September</w:t>
      </w:r>
      <w:proofErr w:type="spellEnd"/>
      <w:r w:rsidRPr="00395FE3">
        <w:rPr>
          <w:rFonts w:ascii="Times New Roman" w:hAnsi="Times New Roman" w:cs="Times New Roman"/>
          <w:sz w:val="24"/>
          <w:szCs w:val="24"/>
        </w:rPr>
        <w:t xml:space="preserve"> 29, 2017,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http://www.scielo.org.co/scielo.php?script=sci_arttext&amp;pid=S1657-89612013000200004&amp;lng=en&amp;tlng=es.</w:t>
      </w:r>
    </w:p>
    <w:p w14:paraId="58FBC74A" w14:textId="77777777" w:rsidR="007F3188" w:rsidRPr="00395FE3" w:rsidRDefault="007F3188" w:rsidP="007F3188">
      <w:pPr>
        <w:ind w:left="709" w:hanging="709"/>
        <w:rPr>
          <w:rFonts w:ascii="Times New Roman" w:hAnsi="Times New Roman" w:cs="Times New Roman"/>
          <w:bCs/>
          <w:sz w:val="24"/>
          <w:szCs w:val="24"/>
        </w:rPr>
      </w:pPr>
      <w:r w:rsidRPr="001E3F4D">
        <w:rPr>
          <w:rFonts w:ascii="Times New Roman" w:hAnsi="Times New Roman" w:cs="Times New Roman"/>
          <w:bCs/>
          <w:sz w:val="24"/>
          <w:szCs w:val="24"/>
        </w:rPr>
        <w:t xml:space="preserve">Valencia-Serrano, M., Duarte-Soto, J., &amp; Caicedo-Tamayo, A. M. (2013). Aprendizaje autorregulador, metas académicas y rendimiento en evaluaciones de estudiantes universitarios. Pensamiento Psicológico, 11(2), 53-70. </w:t>
      </w:r>
      <w:proofErr w:type="spellStart"/>
      <w:r w:rsidRPr="00395FE3">
        <w:rPr>
          <w:rFonts w:ascii="Times New Roman" w:hAnsi="Times New Roman" w:cs="Times New Roman"/>
          <w:sz w:val="24"/>
          <w:szCs w:val="24"/>
        </w:rPr>
        <w:t>Retrieved</w:t>
      </w:r>
      <w:proofErr w:type="spellEnd"/>
      <w:r w:rsidRPr="00395FE3">
        <w:rPr>
          <w:rFonts w:ascii="Times New Roman" w:hAnsi="Times New Roman" w:cs="Times New Roman"/>
          <w:sz w:val="24"/>
          <w:szCs w:val="24"/>
        </w:rPr>
        <w:t xml:space="preserve"> </w:t>
      </w:r>
      <w:proofErr w:type="spellStart"/>
      <w:r w:rsidRPr="00395FE3">
        <w:rPr>
          <w:rFonts w:ascii="Times New Roman" w:hAnsi="Times New Roman" w:cs="Times New Roman"/>
          <w:sz w:val="24"/>
          <w:szCs w:val="24"/>
        </w:rPr>
        <w:t>January</w:t>
      </w:r>
      <w:proofErr w:type="spellEnd"/>
      <w:r w:rsidRPr="00395FE3">
        <w:rPr>
          <w:rFonts w:ascii="Times New Roman" w:hAnsi="Times New Roman" w:cs="Times New Roman"/>
          <w:sz w:val="24"/>
          <w:szCs w:val="24"/>
        </w:rPr>
        <w:t xml:space="preserve"> 6, 2018, </w:t>
      </w:r>
      <w:proofErr w:type="spellStart"/>
      <w:r w:rsidRPr="00395FE3">
        <w:rPr>
          <w:rFonts w:ascii="Times New Roman" w:hAnsi="Times New Roman" w:cs="Times New Roman"/>
          <w:sz w:val="24"/>
          <w:szCs w:val="24"/>
        </w:rPr>
        <w:t>from</w:t>
      </w:r>
      <w:proofErr w:type="spellEnd"/>
      <w:r w:rsidRPr="00395FE3">
        <w:rPr>
          <w:rFonts w:ascii="Times New Roman" w:hAnsi="Times New Roman" w:cs="Times New Roman"/>
          <w:sz w:val="24"/>
          <w:szCs w:val="24"/>
        </w:rPr>
        <w:t xml:space="preserve"> http://www.scielo.org.co/scielo.php?script=sci_arttext&amp;pid=S1657-89612013000200004&amp;lng=en&amp;tlng=es.</w:t>
      </w:r>
    </w:p>
    <w:p w14:paraId="4E193D5F" w14:textId="77777777" w:rsidR="007F3188" w:rsidRPr="001E3F4D" w:rsidRDefault="007F3188" w:rsidP="007F3188">
      <w:pPr>
        <w:ind w:left="709" w:hanging="709"/>
        <w:rPr>
          <w:rFonts w:ascii="Times New Roman" w:hAnsi="Times New Roman" w:cs="Times New Roman"/>
          <w:sz w:val="24"/>
          <w:szCs w:val="24"/>
          <w:lang w:val="en-US"/>
        </w:rPr>
      </w:pPr>
      <w:r w:rsidRPr="001E3F4D">
        <w:rPr>
          <w:rFonts w:ascii="Times New Roman" w:hAnsi="Times New Roman" w:cs="Times New Roman"/>
          <w:sz w:val="24"/>
          <w:szCs w:val="24"/>
          <w:lang w:val="es-419"/>
        </w:rPr>
        <w:t xml:space="preserve">Valle, A., </w:t>
      </w:r>
      <w:proofErr w:type="spellStart"/>
      <w:r w:rsidRPr="001E3F4D">
        <w:rPr>
          <w:rFonts w:ascii="Times New Roman" w:hAnsi="Times New Roman" w:cs="Times New Roman"/>
          <w:sz w:val="24"/>
          <w:szCs w:val="24"/>
          <w:lang w:val="es-419"/>
        </w:rPr>
        <w:t>Regueiro</w:t>
      </w:r>
      <w:proofErr w:type="spellEnd"/>
      <w:r w:rsidRPr="001E3F4D">
        <w:rPr>
          <w:rFonts w:ascii="Times New Roman" w:hAnsi="Times New Roman" w:cs="Times New Roman"/>
          <w:sz w:val="24"/>
          <w:szCs w:val="24"/>
          <w:lang w:val="es-419"/>
        </w:rPr>
        <w:t xml:space="preserve">, B., Estévez, L., Piñeiro, I., Rodríguez, S., &amp; Freire, C. (2015a). Implicación y motivación hacia los deberes escolares en los estudiantes de Primaria según el </w:t>
      </w:r>
      <w:r w:rsidRPr="001E3F4D">
        <w:rPr>
          <w:rFonts w:ascii="Times New Roman" w:hAnsi="Times New Roman" w:cs="Times New Roman"/>
          <w:sz w:val="24"/>
          <w:szCs w:val="24"/>
          <w:lang w:val="es-419"/>
        </w:rPr>
        <w:lastRenderedPageBreak/>
        <w:t xml:space="preserve">rendimiento académico y el curso. </w:t>
      </w:r>
      <w:r w:rsidRPr="001E3F4D">
        <w:rPr>
          <w:rFonts w:ascii="Times New Roman" w:hAnsi="Times New Roman" w:cs="Times New Roman"/>
          <w:sz w:val="24"/>
          <w:szCs w:val="24"/>
          <w:lang w:val="en-US"/>
        </w:rPr>
        <w:t xml:space="preserve">European Journal of Investigation in Health, Psychology and Education, 5(3), 345-355. Retrieved January 10, 2018, from </w:t>
      </w:r>
      <w:r w:rsidRPr="001E3F4D">
        <w:rPr>
          <w:rFonts w:ascii="Times New Roman" w:hAnsi="Times New Roman" w:cs="Times New Roman"/>
          <w:bCs/>
          <w:sz w:val="24"/>
          <w:szCs w:val="24"/>
          <w:lang w:val="en-US"/>
        </w:rPr>
        <w:t>https://formacionasunivep.com/ejihpe/index.php/ejihpe/article/view/137.</w:t>
      </w:r>
    </w:p>
    <w:p w14:paraId="39544E0A" w14:textId="77777777" w:rsidR="007F3188" w:rsidRPr="001E3F4D" w:rsidRDefault="007F3188" w:rsidP="007F3188">
      <w:pPr>
        <w:ind w:left="709" w:hanging="709"/>
        <w:rPr>
          <w:rFonts w:ascii="Times New Roman" w:hAnsi="Times New Roman" w:cs="Times New Roman"/>
          <w:bCs/>
          <w:sz w:val="24"/>
          <w:szCs w:val="24"/>
          <w:lang w:val="en-US"/>
        </w:rPr>
      </w:pPr>
      <w:r w:rsidRPr="001E3F4D">
        <w:rPr>
          <w:rFonts w:ascii="Times New Roman" w:hAnsi="Times New Roman" w:cs="Times New Roman"/>
          <w:bCs/>
          <w:sz w:val="24"/>
          <w:szCs w:val="24"/>
        </w:rPr>
        <w:t xml:space="preserve">Valle, A., </w:t>
      </w:r>
      <w:proofErr w:type="spellStart"/>
      <w:r w:rsidRPr="001E3F4D">
        <w:rPr>
          <w:rFonts w:ascii="Times New Roman" w:hAnsi="Times New Roman" w:cs="Times New Roman"/>
          <w:bCs/>
          <w:sz w:val="24"/>
          <w:szCs w:val="24"/>
        </w:rPr>
        <w:t>Regueiro</w:t>
      </w:r>
      <w:proofErr w:type="spellEnd"/>
      <w:r w:rsidRPr="001E3F4D">
        <w:rPr>
          <w:rFonts w:ascii="Times New Roman" w:hAnsi="Times New Roman" w:cs="Times New Roman"/>
          <w:bCs/>
          <w:sz w:val="24"/>
          <w:szCs w:val="24"/>
        </w:rPr>
        <w:t xml:space="preserve">, B., Rodríguez, S., Piñeiro, I., </w:t>
      </w:r>
      <w:proofErr w:type="spellStart"/>
      <w:r w:rsidRPr="001E3F4D">
        <w:rPr>
          <w:rFonts w:ascii="Times New Roman" w:hAnsi="Times New Roman" w:cs="Times New Roman"/>
          <w:bCs/>
          <w:sz w:val="24"/>
          <w:szCs w:val="24"/>
        </w:rPr>
        <w:t>Freirea</w:t>
      </w:r>
      <w:proofErr w:type="spellEnd"/>
      <w:r w:rsidRPr="001E3F4D">
        <w:rPr>
          <w:rFonts w:ascii="Times New Roman" w:hAnsi="Times New Roman" w:cs="Times New Roman"/>
          <w:bCs/>
          <w:sz w:val="24"/>
          <w:szCs w:val="24"/>
        </w:rPr>
        <w:t xml:space="preserve">, C., </w:t>
      </w:r>
      <w:proofErr w:type="spellStart"/>
      <w:r w:rsidRPr="001E3F4D">
        <w:rPr>
          <w:rFonts w:ascii="Times New Roman" w:hAnsi="Times New Roman" w:cs="Times New Roman"/>
          <w:bCs/>
          <w:sz w:val="24"/>
          <w:szCs w:val="24"/>
        </w:rPr>
        <w:t>Ferradás</w:t>
      </w:r>
      <w:proofErr w:type="spellEnd"/>
      <w:r w:rsidRPr="001E3F4D">
        <w:rPr>
          <w:rFonts w:ascii="Times New Roman" w:hAnsi="Times New Roman" w:cs="Times New Roman"/>
          <w:bCs/>
          <w:sz w:val="24"/>
          <w:szCs w:val="24"/>
        </w:rPr>
        <w:t xml:space="preserve">, M., &amp; Suárez, N. (2015b). </w:t>
      </w:r>
      <w:r w:rsidRPr="00395FE3">
        <w:rPr>
          <w:rFonts w:ascii="Times New Roman" w:hAnsi="Times New Roman" w:cs="Times New Roman"/>
          <w:bCs/>
          <w:sz w:val="24"/>
          <w:szCs w:val="24"/>
        </w:rPr>
        <w:t xml:space="preserve">Perfiles motivacionales como combinación de expectativas de autoeficacia y metas académicas en estudiantes universitarios. </w:t>
      </w:r>
      <w:r w:rsidRPr="001E3F4D">
        <w:rPr>
          <w:rFonts w:ascii="Times New Roman" w:hAnsi="Times New Roman" w:cs="Times New Roman"/>
          <w:bCs/>
          <w:sz w:val="24"/>
          <w:szCs w:val="24"/>
          <w:lang w:val="en-US"/>
        </w:rPr>
        <w:t>European Journal of Education and Psychology 8, 1-8. DOI: https://doi.org/10.1016/j.ejeps.2015.10.001.</w:t>
      </w:r>
    </w:p>
    <w:p w14:paraId="72429804" w14:textId="77777777" w:rsidR="007F3188" w:rsidRPr="001E3F4D" w:rsidRDefault="007F3188" w:rsidP="007F3188">
      <w:pPr>
        <w:rPr>
          <w:rFonts w:ascii="Times New Roman" w:hAnsi="Times New Roman" w:cs="Times New Roman"/>
          <w:bCs/>
          <w:sz w:val="24"/>
          <w:szCs w:val="24"/>
          <w:lang w:val="en-US"/>
        </w:rPr>
      </w:pPr>
    </w:p>
    <w:p w14:paraId="3D478079" w14:textId="77777777" w:rsidR="007F3188" w:rsidRPr="007F3188" w:rsidRDefault="007F3188" w:rsidP="000C04DE">
      <w:pPr>
        <w:rPr>
          <w:rFonts w:ascii="Times New Roman" w:hAnsi="Times New Roman" w:cs="Times New Roman"/>
          <w:b/>
          <w:sz w:val="24"/>
          <w:szCs w:val="24"/>
          <w:lang w:val="en-US"/>
        </w:rPr>
      </w:pPr>
    </w:p>
    <w:sectPr w:rsidR="007F3188" w:rsidRPr="007F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82A"/>
    <w:multiLevelType w:val="hybridMultilevel"/>
    <w:tmpl w:val="9308FC4A"/>
    <w:lvl w:ilvl="0" w:tplc="DF569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B653F"/>
    <w:multiLevelType w:val="hybridMultilevel"/>
    <w:tmpl w:val="CC72E3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A9"/>
    <w:rsid w:val="000014A1"/>
    <w:rsid w:val="000650B2"/>
    <w:rsid w:val="000A23F5"/>
    <w:rsid w:val="000C04DE"/>
    <w:rsid w:val="001143DF"/>
    <w:rsid w:val="0012501D"/>
    <w:rsid w:val="001326F9"/>
    <w:rsid w:val="00146C40"/>
    <w:rsid w:val="00181ED4"/>
    <w:rsid w:val="00215F9B"/>
    <w:rsid w:val="002256FA"/>
    <w:rsid w:val="002422A9"/>
    <w:rsid w:val="00282C7D"/>
    <w:rsid w:val="002B6ADE"/>
    <w:rsid w:val="002C33EE"/>
    <w:rsid w:val="00365FEB"/>
    <w:rsid w:val="003F29BE"/>
    <w:rsid w:val="00416F44"/>
    <w:rsid w:val="00457A8F"/>
    <w:rsid w:val="004A36F1"/>
    <w:rsid w:val="005262D0"/>
    <w:rsid w:val="005C4203"/>
    <w:rsid w:val="00601F3F"/>
    <w:rsid w:val="006060D0"/>
    <w:rsid w:val="0062291C"/>
    <w:rsid w:val="00686DB8"/>
    <w:rsid w:val="00700A65"/>
    <w:rsid w:val="007200DA"/>
    <w:rsid w:val="007F3188"/>
    <w:rsid w:val="008846E8"/>
    <w:rsid w:val="008A319E"/>
    <w:rsid w:val="00911645"/>
    <w:rsid w:val="00AF5366"/>
    <w:rsid w:val="00B5366E"/>
    <w:rsid w:val="00B64A5D"/>
    <w:rsid w:val="00BD171E"/>
    <w:rsid w:val="00C620B8"/>
    <w:rsid w:val="00D62E1C"/>
    <w:rsid w:val="00DD24FB"/>
    <w:rsid w:val="00E004BC"/>
    <w:rsid w:val="00E02F71"/>
    <w:rsid w:val="00E160E8"/>
    <w:rsid w:val="00E17392"/>
    <w:rsid w:val="00E533DF"/>
    <w:rsid w:val="00F07522"/>
    <w:rsid w:val="00F42DEE"/>
    <w:rsid w:val="00FC65A9"/>
    <w:rsid w:val="00FE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856C"/>
  <w15:chartTrackingRefBased/>
  <w15:docId w15:val="{3257EC0B-692D-45C8-B09B-971A3BA6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F5"/>
    <w:rPr>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5A9"/>
    <w:pPr>
      <w:ind w:left="720"/>
      <w:contextualSpacing/>
    </w:pPr>
  </w:style>
  <w:style w:type="paragraph" w:customStyle="1" w:styleId="Default">
    <w:name w:val="Default"/>
    <w:rsid w:val="000A23F5"/>
    <w:pPr>
      <w:autoSpaceDE w:val="0"/>
      <w:autoSpaceDN w:val="0"/>
      <w:adjustRightInd w:val="0"/>
      <w:spacing w:line="240" w:lineRule="auto"/>
    </w:pPr>
    <w:rPr>
      <w:rFonts w:ascii="Times New Roman" w:hAnsi="Times New Roman" w:cs="Times New Roman"/>
      <w:color w:val="000000"/>
      <w:sz w:val="24"/>
      <w:szCs w:val="24"/>
      <w:lang w:val="es-EC"/>
    </w:rPr>
  </w:style>
  <w:style w:type="table" w:styleId="PlainTable2">
    <w:name w:val="Plain Table 2"/>
    <w:basedOn w:val="TableNormal"/>
    <w:uiPriority w:val="42"/>
    <w:rsid w:val="00C620B8"/>
    <w:pPr>
      <w:spacing w:line="240" w:lineRule="auto"/>
      <w:jc w:val="left"/>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2126796" TargetMode="External"/><Relationship Id="rId3" Type="http://schemas.openxmlformats.org/officeDocument/2006/relationships/styles" Target="styles.xml"/><Relationship Id="rId7" Type="http://schemas.openxmlformats.org/officeDocument/2006/relationships/hyperlink" Target="http://www.sciencedirect.com/science/article/pii/S157518131730013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6018/analesps.31.2.1718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7712-7000-45F3-BFE1-2C6AE64F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16</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Sevy</dc:creator>
  <cp:keywords/>
  <dc:description/>
  <cp:lastModifiedBy>Julia Sevy</cp:lastModifiedBy>
  <cp:revision>25</cp:revision>
  <dcterms:created xsi:type="dcterms:W3CDTF">2018-02-02T14:10:00Z</dcterms:created>
  <dcterms:modified xsi:type="dcterms:W3CDTF">2018-02-06T14:33:00Z</dcterms:modified>
</cp:coreProperties>
</file>