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AD2" w:rsidRDefault="00BF442D">
      <w:r w:rsidRPr="00BF442D">
        <w:rPr>
          <w:noProof/>
          <w:lang w:eastAsia="es-EC"/>
        </w:rPr>
        <w:drawing>
          <wp:inline distT="0" distB="0" distL="0" distR="0">
            <wp:extent cx="5400040" cy="7406783"/>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0040" cy="7406783"/>
                    </a:xfrm>
                    <a:prstGeom prst="rect">
                      <a:avLst/>
                    </a:prstGeom>
                    <a:noFill/>
                    <a:ln>
                      <a:noFill/>
                    </a:ln>
                  </pic:spPr>
                </pic:pic>
              </a:graphicData>
            </a:graphic>
          </wp:inline>
        </w:drawing>
      </w:r>
      <w:r w:rsidRPr="00BF442D">
        <w:rPr>
          <w:noProof/>
          <w:lang w:eastAsia="es-EC"/>
        </w:rPr>
        <w:lastRenderedPageBreak/>
        <w:drawing>
          <wp:inline distT="0" distB="0" distL="0" distR="0">
            <wp:extent cx="5400040" cy="757930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7579300"/>
                    </a:xfrm>
                    <a:prstGeom prst="rect">
                      <a:avLst/>
                    </a:prstGeom>
                    <a:noFill/>
                    <a:ln>
                      <a:noFill/>
                    </a:ln>
                  </pic:spPr>
                </pic:pic>
              </a:graphicData>
            </a:graphic>
          </wp:inline>
        </w:drawing>
      </w:r>
    </w:p>
    <w:p w:rsidR="00BF442D" w:rsidRDefault="00BF442D"/>
    <w:p w:rsidR="00BF442D" w:rsidRDefault="00BF442D"/>
    <w:p w:rsidR="00BF442D" w:rsidRDefault="00BF442D"/>
    <w:p w:rsidR="00BF442D" w:rsidRDefault="00BF442D"/>
    <w:p w:rsidR="00BF442D" w:rsidRDefault="00BF442D"/>
    <w:p w:rsidR="00BF442D" w:rsidRDefault="00BF442D">
      <w:r>
        <w:t xml:space="preserve">Ponencia presentada para en la Conferencia sobre el Atlas del derecho a la educación en los años de la Revolución Ciudadana, </w:t>
      </w:r>
      <w:r w:rsidR="009C60B9">
        <w:t>Loja</w:t>
      </w:r>
      <w:r>
        <w:t xml:space="preserve">, </w:t>
      </w:r>
      <w:r w:rsidR="009C60B9">
        <w:t>29</w:t>
      </w:r>
      <w:r>
        <w:t xml:space="preserve"> de Marzo, 2017</w:t>
      </w:r>
    </w:p>
    <w:p w:rsidR="009C60B9" w:rsidRDefault="009C60B9"/>
    <w:p w:rsidR="009C60B9" w:rsidRPr="009342ED" w:rsidRDefault="009C60B9" w:rsidP="009C60B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Sin identificarlo con el desarrollo social esencial para una democracia del Buen Vivir en sí, dentro de los objetivos de desarrollo del Ecuador está el crecimiento económico y la educación también puede aportar a esto. </w:t>
      </w:r>
      <w:r w:rsidRPr="009342ED">
        <w:rPr>
          <w:rFonts w:ascii="Times New Roman" w:hAnsi="Times New Roman" w:cs="Times New Roman"/>
          <w:sz w:val="24"/>
          <w:szCs w:val="24"/>
        </w:rPr>
        <w:t xml:space="preserve">El estudio de </w:t>
      </w:r>
      <w:proofErr w:type="spellStart"/>
      <w:r w:rsidRPr="009342ED">
        <w:rPr>
          <w:rFonts w:ascii="Times New Roman" w:hAnsi="Times New Roman" w:cs="Times New Roman"/>
          <w:sz w:val="24"/>
          <w:szCs w:val="24"/>
        </w:rPr>
        <w:t>Bruns</w:t>
      </w:r>
      <w:proofErr w:type="spellEnd"/>
      <w:r w:rsidRPr="009342ED">
        <w:rPr>
          <w:rFonts w:ascii="Times New Roman" w:hAnsi="Times New Roman" w:cs="Times New Roman"/>
          <w:sz w:val="24"/>
          <w:szCs w:val="24"/>
        </w:rPr>
        <w:t xml:space="preserve"> y Luque indica que hay una relación entre el desempeño en los estudios PISA y la tasa de crecimiento económico</w:t>
      </w:r>
      <w:r>
        <w:rPr>
          <w:rFonts w:ascii="Times New Roman" w:hAnsi="Times New Roman" w:cs="Times New Roman"/>
          <w:sz w:val="24"/>
          <w:szCs w:val="24"/>
        </w:rPr>
        <w:t>.</w:t>
      </w:r>
    </w:p>
    <w:p w:rsidR="009C60B9" w:rsidRPr="009342ED" w:rsidRDefault="009C60B9" w:rsidP="009C60B9">
      <w:pPr>
        <w:spacing w:line="240" w:lineRule="auto"/>
        <w:jc w:val="both"/>
        <w:rPr>
          <w:rFonts w:ascii="Times New Roman" w:hAnsi="Times New Roman" w:cs="Times New Roman"/>
          <w:sz w:val="24"/>
          <w:szCs w:val="24"/>
        </w:rPr>
      </w:pPr>
    </w:p>
    <w:p w:rsidR="009C60B9" w:rsidRPr="009342ED" w:rsidRDefault="009C60B9" w:rsidP="009C60B9">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extent cx="4547235" cy="2861945"/>
            <wp:effectExtent l="0" t="0" r="5715" b="0"/>
            <wp:docPr id="4" name="Imagen 4" descr="Gráfico Capacidades cognitivas y crecimiento económico a largo plazo en las regiones, 1960-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Capacidades cognitivas y crecimiento económico a largo plazo en las regiones, 1960-20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7235" cy="2861945"/>
                    </a:xfrm>
                    <a:prstGeom prst="rect">
                      <a:avLst/>
                    </a:prstGeom>
                    <a:noFill/>
                    <a:ln>
                      <a:noFill/>
                    </a:ln>
                  </pic:spPr>
                </pic:pic>
              </a:graphicData>
            </a:graphic>
          </wp:inline>
        </w:drawing>
      </w:r>
    </w:p>
    <w:p w:rsidR="009C60B9" w:rsidRDefault="009C60B9" w:rsidP="009C60B9">
      <w:pPr>
        <w:spacing w:line="240" w:lineRule="auto"/>
        <w:jc w:val="center"/>
        <w:rPr>
          <w:rFonts w:ascii="Times New Roman" w:hAnsi="Times New Roman" w:cs="Times New Roman"/>
          <w:sz w:val="24"/>
          <w:szCs w:val="24"/>
        </w:rPr>
      </w:pPr>
    </w:p>
    <w:p w:rsidR="009C60B9" w:rsidRDefault="009C60B9" w:rsidP="009C60B9">
      <w:pPr>
        <w:spacing w:line="240" w:lineRule="auto"/>
        <w:jc w:val="center"/>
        <w:rPr>
          <w:rFonts w:ascii="Times New Roman" w:hAnsi="Times New Roman" w:cs="Times New Roman"/>
          <w:sz w:val="24"/>
          <w:szCs w:val="24"/>
          <w:lang w:val="es-ES"/>
        </w:rPr>
      </w:pPr>
      <w:r>
        <w:rPr>
          <w:rFonts w:ascii="Times New Roman" w:hAnsi="Times New Roman" w:cs="Times New Roman"/>
          <w:sz w:val="24"/>
          <w:szCs w:val="24"/>
        </w:rPr>
        <w:t xml:space="preserve">Gráfico 84. Capacidades cognitivas y crecimiento económico a largo plazo en las regiones, 1960-2000. Fuente: </w:t>
      </w:r>
      <w:proofErr w:type="spellStart"/>
      <w:r>
        <w:rPr>
          <w:rFonts w:ascii="Times New Roman" w:hAnsi="Times New Roman" w:cs="Times New Roman"/>
          <w:sz w:val="24"/>
          <w:szCs w:val="24"/>
        </w:rPr>
        <w:t>Hanushek</w:t>
      </w:r>
      <w:proofErr w:type="spellEnd"/>
      <w:r>
        <w:rPr>
          <w:rFonts w:ascii="Times New Roman" w:hAnsi="Times New Roman" w:cs="Times New Roman"/>
          <w:sz w:val="24"/>
          <w:szCs w:val="24"/>
        </w:rPr>
        <w:t xml:space="preserve">, Peterson y </w:t>
      </w:r>
      <w:proofErr w:type="spellStart"/>
      <w:r>
        <w:rPr>
          <w:rFonts w:ascii="Times New Roman" w:hAnsi="Times New Roman" w:cs="Times New Roman"/>
          <w:sz w:val="24"/>
          <w:szCs w:val="24"/>
        </w:rPr>
        <w:t>Woessmann</w:t>
      </w:r>
      <w:proofErr w:type="spellEnd"/>
      <w:r>
        <w:rPr>
          <w:rFonts w:ascii="Times New Roman" w:hAnsi="Times New Roman" w:cs="Times New Roman"/>
          <w:sz w:val="24"/>
          <w:szCs w:val="24"/>
        </w:rPr>
        <w:t xml:space="preserve"> (2012). Nota: En este gráfico se compara la tasa de crecimiento anual promedio (en porcentaje del PIB real per cápita en el período 1960</w:t>
      </w:r>
      <w:r w:rsidRPr="003755C1">
        <w:rPr>
          <w:rFonts w:ascii="Times New Roman" w:hAnsi="Times New Roman" w:cs="Times New Roman"/>
          <w:sz w:val="24"/>
          <w:szCs w:val="24"/>
          <w:lang w:val="es-ES"/>
        </w:rPr>
        <w:t>-</w:t>
      </w:r>
      <w:r>
        <w:rPr>
          <w:rFonts w:ascii="Times New Roman" w:hAnsi="Times New Roman" w:cs="Times New Roman"/>
          <w:sz w:val="24"/>
          <w:szCs w:val="24"/>
        </w:rPr>
        <w:t xml:space="preserve">2000 </w:t>
      </w:r>
      <w:r>
        <w:rPr>
          <w:rFonts w:ascii="Times New Roman" w:hAnsi="Times New Roman" w:cs="Times New Roman"/>
          <w:sz w:val="24"/>
          <w:szCs w:val="24"/>
          <w:lang w:val="es-ES"/>
        </w:rPr>
        <w:t>(ajustado en función del nivel del PIB per cápita en 1960) con los puntajes promedio extraídos de pruebas internacionales realizadas a estudiantes en este periodo. Códigos de región: SSAFR</w:t>
      </w:r>
      <w:r w:rsidRPr="003755C1">
        <w:rPr>
          <w:rFonts w:ascii="Times New Roman" w:hAnsi="Times New Roman" w:cs="Times New Roman"/>
          <w:sz w:val="24"/>
          <w:szCs w:val="24"/>
          <w:lang w:val="es-ES"/>
        </w:rPr>
        <w:t>=</w:t>
      </w:r>
      <w:r>
        <w:rPr>
          <w:rFonts w:ascii="Times New Roman" w:hAnsi="Times New Roman" w:cs="Times New Roman"/>
          <w:sz w:val="24"/>
          <w:szCs w:val="24"/>
          <w:lang w:val="es-ES"/>
        </w:rPr>
        <w:t>África al sur del Sahara; LATAM=América Latina; ASIA</w:t>
      </w:r>
      <w:r w:rsidRPr="003755C1">
        <w:rPr>
          <w:rFonts w:ascii="Times New Roman" w:hAnsi="Times New Roman" w:cs="Times New Roman"/>
          <w:sz w:val="24"/>
          <w:szCs w:val="24"/>
          <w:lang w:val="es-ES"/>
        </w:rPr>
        <w:t>=</w:t>
      </w:r>
      <w:r>
        <w:rPr>
          <w:rFonts w:ascii="Times New Roman" w:hAnsi="Times New Roman" w:cs="Times New Roman"/>
          <w:sz w:val="24"/>
          <w:szCs w:val="24"/>
          <w:lang w:val="es-ES"/>
        </w:rPr>
        <w:t>Asia; COMM</w:t>
      </w:r>
      <w:r w:rsidRPr="003755C1">
        <w:rPr>
          <w:rFonts w:ascii="Times New Roman" w:hAnsi="Times New Roman" w:cs="Times New Roman"/>
          <w:sz w:val="24"/>
          <w:szCs w:val="24"/>
          <w:lang w:val="es-ES"/>
        </w:rPr>
        <w:t>=países del Commonwealth miembros de la OCDE</w:t>
      </w:r>
      <w:r>
        <w:rPr>
          <w:rFonts w:ascii="Times New Roman" w:hAnsi="Times New Roman" w:cs="Times New Roman"/>
          <w:sz w:val="24"/>
          <w:szCs w:val="24"/>
          <w:lang w:val="es-ES"/>
        </w:rPr>
        <w:t>; EURO</w:t>
      </w:r>
      <w:r w:rsidRPr="003755C1">
        <w:rPr>
          <w:rFonts w:ascii="Times New Roman" w:hAnsi="Times New Roman" w:cs="Times New Roman"/>
          <w:sz w:val="24"/>
          <w:szCs w:val="24"/>
          <w:lang w:val="es-ES"/>
        </w:rPr>
        <w:t>=</w:t>
      </w:r>
      <w:r>
        <w:rPr>
          <w:rFonts w:ascii="Times New Roman" w:hAnsi="Times New Roman" w:cs="Times New Roman"/>
          <w:sz w:val="24"/>
          <w:szCs w:val="24"/>
          <w:lang w:val="es-ES"/>
        </w:rPr>
        <w:t>Europa; MENA</w:t>
      </w:r>
      <w:r w:rsidRPr="003755C1">
        <w:rPr>
          <w:rFonts w:ascii="Times New Roman" w:hAnsi="Times New Roman" w:cs="Times New Roman"/>
          <w:sz w:val="24"/>
          <w:szCs w:val="24"/>
          <w:lang w:val="es-ES"/>
        </w:rPr>
        <w:t>=</w:t>
      </w:r>
      <w:r>
        <w:rPr>
          <w:rFonts w:ascii="Times New Roman" w:hAnsi="Times New Roman" w:cs="Times New Roman"/>
          <w:sz w:val="24"/>
          <w:szCs w:val="24"/>
          <w:lang w:val="es-ES"/>
        </w:rPr>
        <w:t>Oriente Medio y Norte de África.</w:t>
      </w:r>
    </w:p>
    <w:p w:rsidR="009C60B9" w:rsidRDefault="009C60B9" w:rsidP="009C60B9">
      <w:pPr>
        <w:spacing w:line="240" w:lineRule="auto"/>
        <w:jc w:val="center"/>
        <w:rPr>
          <w:rFonts w:ascii="Times New Roman" w:hAnsi="Times New Roman" w:cs="Times New Roman"/>
          <w:sz w:val="24"/>
          <w:szCs w:val="24"/>
          <w:lang w:val="es-ES"/>
        </w:rPr>
      </w:pPr>
    </w:p>
    <w:p w:rsidR="009C60B9" w:rsidRPr="009342ED" w:rsidRDefault="009C60B9" w:rsidP="009C60B9">
      <w:pPr>
        <w:spacing w:line="240" w:lineRule="auto"/>
        <w:rPr>
          <w:rFonts w:ascii="Times New Roman" w:hAnsi="Times New Roman" w:cs="Times New Roman"/>
          <w:sz w:val="24"/>
          <w:szCs w:val="24"/>
        </w:rPr>
      </w:pPr>
      <w:r w:rsidRPr="009342ED">
        <w:rPr>
          <w:rFonts w:ascii="Times New Roman" w:hAnsi="Times New Roman" w:cs="Times New Roman"/>
          <w:sz w:val="24"/>
          <w:szCs w:val="24"/>
        </w:rPr>
        <w:t>Sin embargo, Chang argumenta que la relación es más compleja:</w:t>
      </w:r>
    </w:p>
    <w:p w:rsidR="009C60B9" w:rsidRPr="009342ED" w:rsidRDefault="009C60B9" w:rsidP="009C60B9">
      <w:pPr>
        <w:spacing w:line="240" w:lineRule="auto"/>
        <w:rPr>
          <w:rFonts w:ascii="Times New Roman" w:hAnsi="Times New Roman" w:cs="Times New Roman"/>
          <w:sz w:val="24"/>
          <w:szCs w:val="24"/>
        </w:rPr>
      </w:pPr>
    </w:p>
    <w:p w:rsidR="009C60B9" w:rsidRPr="009342ED" w:rsidRDefault="009C60B9" w:rsidP="009C60B9">
      <w:pPr>
        <w:spacing w:line="240" w:lineRule="auto"/>
        <w:ind w:left="630" w:right="900"/>
        <w:jc w:val="both"/>
        <w:rPr>
          <w:rFonts w:ascii="Times New Roman" w:hAnsi="Times New Roman" w:cs="Times New Roman"/>
          <w:sz w:val="24"/>
          <w:szCs w:val="24"/>
        </w:rPr>
      </w:pPr>
      <w:r w:rsidRPr="009342ED">
        <w:rPr>
          <w:rFonts w:ascii="Times New Roman" w:hAnsi="Times New Roman" w:cs="Times New Roman"/>
          <w:sz w:val="24"/>
          <w:szCs w:val="24"/>
        </w:rPr>
        <w:t xml:space="preserve">En 1960, Taiwán tenía una tasa de alfabetismo de sólo 54%, mientras que la de las Filipinas era de 72%. A pesar de su menor nivel de educación, Taiwán consiguió uno de los mayores desempeños de crecimiento económico de la historia de la humanidad, mientras que Filipinas se desempeñó pobremente. En 1960, Filipinas tenía un ingreso per cápita de casi el doble del de Taiwán (US$200 vs. US$122), pero hoy el ingreso </w:t>
      </w:r>
      <w:r w:rsidRPr="009342ED">
        <w:rPr>
          <w:rFonts w:ascii="Times New Roman" w:hAnsi="Times New Roman" w:cs="Times New Roman"/>
          <w:sz w:val="24"/>
          <w:szCs w:val="24"/>
        </w:rPr>
        <w:lastRenderedPageBreak/>
        <w:t>per cápita de Taiwán es alrededor de diez veces superior al de Filipinas (US$18</w:t>
      </w:r>
      <w:r>
        <w:rPr>
          <w:rFonts w:ascii="Times New Roman" w:hAnsi="Times New Roman" w:cs="Times New Roman"/>
          <w:sz w:val="24"/>
          <w:szCs w:val="24"/>
        </w:rPr>
        <w:t>,</w:t>
      </w:r>
      <w:r w:rsidRPr="009342ED">
        <w:rPr>
          <w:rFonts w:ascii="Times New Roman" w:hAnsi="Times New Roman" w:cs="Times New Roman"/>
          <w:sz w:val="24"/>
          <w:szCs w:val="24"/>
        </w:rPr>
        <w:t>000 vs US$1</w:t>
      </w:r>
      <w:r>
        <w:rPr>
          <w:rFonts w:ascii="Times New Roman" w:hAnsi="Times New Roman" w:cs="Times New Roman"/>
          <w:sz w:val="24"/>
          <w:szCs w:val="24"/>
        </w:rPr>
        <w:t>,</w:t>
      </w:r>
      <w:r w:rsidRPr="009342ED">
        <w:rPr>
          <w:rFonts w:ascii="Times New Roman" w:hAnsi="Times New Roman" w:cs="Times New Roman"/>
          <w:sz w:val="24"/>
          <w:szCs w:val="24"/>
        </w:rPr>
        <w:t>800). En el mismo año, Corea tuvo una tasa de alfabetismo del 71% –comparable a la de Filipinas aunque aún muy por debajo del 91% de la Argentina–. A pesar del alfabetismo notablemente inferior, Corea creció desde entonces mucho más rápido que la Argentina. El ingreso per cápita de Corea fue apenas superior a un quinto del de la Argentina en 1960 (US$82 vs US$378). Hoy en día es tres veces superior (alrededor de US$21000 vs cerca de US$7000) (</w:t>
      </w:r>
      <w:r>
        <w:rPr>
          <w:rFonts w:ascii="Times New Roman" w:hAnsi="Times New Roman" w:cs="Times New Roman"/>
          <w:sz w:val="24"/>
          <w:szCs w:val="24"/>
        </w:rPr>
        <w:t xml:space="preserve">Chang, 2011: </w:t>
      </w:r>
      <w:r w:rsidRPr="009342ED">
        <w:rPr>
          <w:rFonts w:ascii="Times New Roman" w:hAnsi="Times New Roman" w:cs="Times New Roman"/>
          <w:sz w:val="24"/>
          <w:szCs w:val="24"/>
        </w:rPr>
        <w:t>50)</w:t>
      </w:r>
      <w:r>
        <w:rPr>
          <w:rFonts w:ascii="Times New Roman" w:hAnsi="Times New Roman" w:cs="Times New Roman"/>
          <w:sz w:val="24"/>
          <w:szCs w:val="24"/>
        </w:rPr>
        <w:t>.</w:t>
      </w:r>
    </w:p>
    <w:p w:rsidR="009C60B9" w:rsidRPr="009342ED" w:rsidRDefault="009C60B9" w:rsidP="009C60B9">
      <w:pPr>
        <w:spacing w:line="240" w:lineRule="auto"/>
        <w:rPr>
          <w:rFonts w:ascii="Times New Roman" w:hAnsi="Times New Roman" w:cs="Times New Roman"/>
          <w:sz w:val="24"/>
          <w:szCs w:val="24"/>
        </w:rPr>
      </w:pPr>
    </w:p>
    <w:p w:rsidR="009C60B9" w:rsidRPr="009342ED" w:rsidRDefault="009C60B9" w:rsidP="009C60B9">
      <w:pPr>
        <w:spacing w:line="240" w:lineRule="auto"/>
        <w:rPr>
          <w:rFonts w:ascii="Times New Roman" w:hAnsi="Times New Roman" w:cs="Times New Roman"/>
          <w:sz w:val="24"/>
          <w:szCs w:val="24"/>
        </w:rPr>
      </w:pPr>
      <w:r w:rsidRPr="009342ED">
        <w:rPr>
          <w:rFonts w:ascii="Times New Roman" w:hAnsi="Times New Roman" w:cs="Times New Roman"/>
          <w:sz w:val="24"/>
          <w:szCs w:val="24"/>
        </w:rPr>
        <w:t>Este fenómeno se ve a través del espectro socioeconómico entre países.</w:t>
      </w:r>
    </w:p>
    <w:p w:rsidR="009C60B9" w:rsidRPr="009342ED" w:rsidRDefault="009C60B9" w:rsidP="009C60B9">
      <w:pPr>
        <w:spacing w:line="240" w:lineRule="auto"/>
        <w:rPr>
          <w:rFonts w:ascii="Times New Roman" w:hAnsi="Times New Roman" w:cs="Times New Roman"/>
          <w:sz w:val="24"/>
          <w:szCs w:val="24"/>
        </w:rPr>
      </w:pPr>
    </w:p>
    <w:p w:rsidR="009C60B9" w:rsidRPr="009342ED" w:rsidRDefault="009C60B9" w:rsidP="009C60B9">
      <w:pPr>
        <w:spacing w:line="240" w:lineRule="auto"/>
        <w:ind w:left="630" w:right="900"/>
        <w:jc w:val="both"/>
        <w:rPr>
          <w:rFonts w:ascii="Times New Roman" w:hAnsi="Times New Roman" w:cs="Times New Roman"/>
          <w:sz w:val="24"/>
          <w:szCs w:val="24"/>
        </w:rPr>
      </w:pPr>
      <w:r w:rsidRPr="009342ED">
        <w:rPr>
          <w:rFonts w:ascii="Times New Roman" w:hAnsi="Times New Roman" w:cs="Times New Roman"/>
          <w:sz w:val="24"/>
          <w:szCs w:val="24"/>
        </w:rPr>
        <w:t>Hasta principio de los ‘90, dicha tasa era de sólo un tercio del promedio de los países desarrollados; en 1996, la tasa de inscripción a la universidad en Suiza era aún la mitad del promedio de los países de la OCDE (16% vs. 34%). Desde entonces, Suiza aumentó dicha tasa considerablemente, llevándola al 47% en el 2007, de acuerdo a datos de la UNESCO. Sin embargo, la tasa en Suiza sigue siendo la más baja en el mundo desarrollado y está muy por debajo de los valores que encontramos en los países de mayor concurrencia universitaria, como Finlandia (94%), EE.UU. (82%) y Dinamarca (80%) y es también, curiosamente, mucho más baja que la de muchas economías considerablemente más pobres como Corea (96%), Grecia (91%), Litua</w:t>
      </w:r>
      <w:r>
        <w:rPr>
          <w:rFonts w:ascii="Times New Roman" w:hAnsi="Times New Roman" w:cs="Times New Roman"/>
          <w:sz w:val="24"/>
          <w:szCs w:val="24"/>
        </w:rPr>
        <w:t xml:space="preserve">nia (76%) y Argentina (68%) (Chang, 2011: </w:t>
      </w:r>
      <w:r w:rsidRPr="009342ED">
        <w:rPr>
          <w:rFonts w:ascii="Times New Roman" w:hAnsi="Times New Roman" w:cs="Times New Roman"/>
          <w:sz w:val="24"/>
          <w:szCs w:val="24"/>
        </w:rPr>
        <w:t>53).</w:t>
      </w:r>
    </w:p>
    <w:p w:rsidR="009C60B9" w:rsidRPr="009342ED" w:rsidRDefault="009C60B9" w:rsidP="009C60B9">
      <w:pPr>
        <w:spacing w:line="240" w:lineRule="auto"/>
        <w:ind w:left="630" w:right="900"/>
        <w:jc w:val="both"/>
        <w:rPr>
          <w:rFonts w:ascii="Times New Roman" w:hAnsi="Times New Roman" w:cs="Times New Roman"/>
          <w:sz w:val="24"/>
          <w:szCs w:val="24"/>
        </w:rPr>
      </w:pPr>
    </w:p>
    <w:p w:rsidR="009C60B9" w:rsidRPr="009342ED" w:rsidRDefault="009C60B9" w:rsidP="009C60B9">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Lo que identifica Chang como valioso para el crecimiento es la capacidad de individuos, naciones y empresas para organizar a sus ciudadanos en trabajos productivos (Chang</w:t>
      </w:r>
      <w:r>
        <w:rPr>
          <w:rFonts w:ascii="Times New Roman" w:hAnsi="Times New Roman" w:cs="Times New Roman"/>
          <w:sz w:val="24"/>
          <w:szCs w:val="24"/>
        </w:rPr>
        <w:t>,</w:t>
      </w:r>
      <w:r w:rsidRPr="009342ED">
        <w:rPr>
          <w:rFonts w:ascii="Times New Roman" w:hAnsi="Times New Roman" w:cs="Times New Roman"/>
          <w:sz w:val="24"/>
          <w:szCs w:val="24"/>
        </w:rPr>
        <w:t xml:space="preserve"> 2011), o lo que llama </w:t>
      </w:r>
      <w:proofErr w:type="spellStart"/>
      <w:r w:rsidRPr="009342ED">
        <w:rPr>
          <w:rFonts w:ascii="Times New Roman" w:hAnsi="Times New Roman" w:cs="Times New Roman"/>
          <w:sz w:val="24"/>
          <w:szCs w:val="24"/>
        </w:rPr>
        <w:t>Acemoglou</w:t>
      </w:r>
      <w:proofErr w:type="spellEnd"/>
      <w:r w:rsidRPr="009342ED">
        <w:rPr>
          <w:rFonts w:ascii="Times New Roman" w:hAnsi="Times New Roman" w:cs="Times New Roman"/>
          <w:sz w:val="24"/>
          <w:szCs w:val="24"/>
        </w:rPr>
        <w:t xml:space="preserve">, Johnson y Robinson (2005) “instituciones”. </w:t>
      </w:r>
      <w:r>
        <w:rPr>
          <w:rFonts w:ascii="Times New Roman" w:hAnsi="Times New Roman" w:cs="Times New Roman"/>
          <w:sz w:val="24"/>
          <w:szCs w:val="24"/>
        </w:rPr>
        <w:t xml:space="preserve">Sin embargo, </w:t>
      </w:r>
      <w:proofErr w:type="spellStart"/>
      <w:r w:rsidRPr="009342ED">
        <w:rPr>
          <w:rFonts w:ascii="Times New Roman" w:hAnsi="Times New Roman" w:cs="Times New Roman"/>
          <w:sz w:val="24"/>
          <w:szCs w:val="24"/>
        </w:rPr>
        <w:t>Stiglitz</w:t>
      </w:r>
      <w:proofErr w:type="spellEnd"/>
      <w:r w:rsidRPr="009342ED">
        <w:rPr>
          <w:rFonts w:ascii="Times New Roman" w:hAnsi="Times New Roman" w:cs="Times New Roman"/>
          <w:sz w:val="24"/>
          <w:szCs w:val="24"/>
        </w:rPr>
        <w:t xml:space="preserve">, </w:t>
      </w:r>
      <w:proofErr w:type="spellStart"/>
      <w:r w:rsidRPr="009342ED">
        <w:rPr>
          <w:rFonts w:ascii="Times New Roman" w:hAnsi="Times New Roman" w:cs="Times New Roman"/>
          <w:sz w:val="24"/>
          <w:szCs w:val="24"/>
        </w:rPr>
        <w:t>Sen</w:t>
      </w:r>
      <w:proofErr w:type="spellEnd"/>
      <w:r w:rsidRPr="009342ED">
        <w:rPr>
          <w:rFonts w:ascii="Times New Roman" w:hAnsi="Times New Roman" w:cs="Times New Roman"/>
          <w:sz w:val="24"/>
          <w:szCs w:val="24"/>
        </w:rPr>
        <w:t xml:space="preserve"> y </w:t>
      </w:r>
      <w:proofErr w:type="spellStart"/>
      <w:r w:rsidRPr="009342ED">
        <w:rPr>
          <w:rFonts w:ascii="Times New Roman" w:hAnsi="Times New Roman" w:cs="Times New Roman"/>
          <w:sz w:val="24"/>
          <w:szCs w:val="24"/>
        </w:rPr>
        <w:t>Fitoussi</w:t>
      </w:r>
      <w:proofErr w:type="spellEnd"/>
      <w:r w:rsidRPr="009342ED">
        <w:rPr>
          <w:rFonts w:ascii="Times New Roman" w:hAnsi="Times New Roman" w:cs="Times New Roman"/>
          <w:sz w:val="24"/>
          <w:szCs w:val="24"/>
        </w:rPr>
        <w:t xml:space="preserve"> (2014) identifican punto</w:t>
      </w:r>
      <w:r>
        <w:rPr>
          <w:rFonts w:ascii="Times New Roman" w:hAnsi="Times New Roman" w:cs="Times New Roman"/>
          <w:sz w:val="24"/>
          <w:szCs w:val="24"/>
        </w:rPr>
        <w:t>s</w:t>
      </w:r>
      <w:r w:rsidRPr="009342ED">
        <w:rPr>
          <w:rFonts w:ascii="Times New Roman" w:hAnsi="Times New Roman" w:cs="Times New Roman"/>
          <w:sz w:val="24"/>
          <w:szCs w:val="24"/>
        </w:rPr>
        <w:t xml:space="preserve"> ciegos </w:t>
      </w:r>
      <w:r>
        <w:rPr>
          <w:rFonts w:ascii="Times New Roman" w:hAnsi="Times New Roman" w:cs="Times New Roman"/>
          <w:sz w:val="24"/>
          <w:szCs w:val="24"/>
        </w:rPr>
        <w:t>en</w:t>
      </w:r>
      <w:r w:rsidRPr="009342ED">
        <w:rPr>
          <w:rFonts w:ascii="Times New Roman" w:hAnsi="Times New Roman" w:cs="Times New Roman"/>
          <w:sz w:val="24"/>
          <w:szCs w:val="24"/>
        </w:rPr>
        <w:t xml:space="preserve"> </w:t>
      </w:r>
      <w:r>
        <w:rPr>
          <w:rFonts w:ascii="Times New Roman" w:hAnsi="Times New Roman" w:cs="Times New Roman"/>
          <w:sz w:val="24"/>
          <w:szCs w:val="24"/>
        </w:rPr>
        <w:t>el</w:t>
      </w:r>
      <w:r w:rsidRPr="009342ED">
        <w:rPr>
          <w:rFonts w:ascii="Times New Roman" w:hAnsi="Times New Roman" w:cs="Times New Roman"/>
          <w:sz w:val="24"/>
          <w:szCs w:val="24"/>
        </w:rPr>
        <w:t xml:space="preserve"> PIB como medida de desarrollo social. En este caso es pertinente hacer cuatro precisiones sobre esta medida. Primero, que es verdad que el crecimiento económico no siempre conduce al bienestar y progreso social. Después de cierto nivel de crecimiento económico es prácticamente irrelevante. Por lo tanto, considerando los impactos ambientales, las naciones deben tratar de crecer lo necesario para su desarrollo social, pero crecer más allá de lo necesario es contraproducente. En el siguiente gráfico vemos una medida de esto, por medio de un cruce entre el PIB y el Índice de Progreso Social, el cual está compuesto por indicadores de nutrición, salud, agua y sanidad, vivienda, seguridad, acceso al conocimiento, información y comunicaciones, ambiente sano, derechos personales, libertades, tolerancia e inclusión y acceso a educación avanzada.</w:t>
      </w:r>
    </w:p>
    <w:p w:rsidR="009C60B9" w:rsidRPr="009342ED" w:rsidRDefault="009C60B9" w:rsidP="009C60B9">
      <w:pPr>
        <w:spacing w:line="240" w:lineRule="auto"/>
        <w:rPr>
          <w:rFonts w:ascii="Times New Roman" w:hAnsi="Times New Roman" w:cs="Times New Roman"/>
          <w:sz w:val="24"/>
          <w:szCs w:val="24"/>
        </w:rPr>
      </w:pPr>
    </w:p>
    <w:p w:rsidR="009C60B9" w:rsidRPr="009342ED" w:rsidRDefault="009C60B9" w:rsidP="009C60B9">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lastRenderedPageBreak/>
        <w:drawing>
          <wp:inline distT="0" distB="0" distL="0" distR="0">
            <wp:extent cx="4633595" cy="4535170"/>
            <wp:effectExtent l="0" t="0" r="0" b="0"/>
            <wp:docPr id="3" name="Imagen 3" descr="Gráfico Social Progress Index vs GDP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áfico Social Progress Index vs GDP per capit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3595" cy="4535170"/>
                    </a:xfrm>
                    <a:prstGeom prst="rect">
                      <a:avLst/>
                    </a:prstGeom>
                    <a:noFill/>
                    <a:ln>
                      <a:noFill/>
                    </a:ln>
                  </pic:spPr>
                </pic:pic>
              </a:graphicData>
            </a:graphic>
          </wp:inline>
        </w:drawing>
      </w:r>
    </w:p>
    <w:p w:rsidR="009C60B9" w:rsidRDefault="009C60B9" w:rsidP="009C60B9">
      <w:pPr>
        <w:spacing w:line="240" w:lineRule="auto"/>
        <w:jc w:val="center"/>
        <w:rPr>
          <w:rFonts w:ascii="Times New Roman" w:hAnsi="Times New Roman" w:cs="Times New Roman"/>
          <w:sz w:val="24"/>
          <w:szCs w:val="24"/>
        </w:rPr>
      </w:pPr>
    </w:p>
    <w:p w:rsidR="009C60B9" w:rsidRPr="009342ED" w:rsidRDefault="009C60B9" w:rsidP="009C60B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Gráfico 85. Indicador del progreso social </w:t>
      </w:r>
      <w:r w:rsidRPr="000E46E7">
        <w:rPr>
          <w:rFonts w:ascii="Times New Roman" w:hAnsi="Times New Roman" w:cs="Times New Roman"/>
          <w:sz w:val="24"/>
          <w:szCs w:val="24"/>
          <w:lang w:val="es-ES"/>
        </w:rPr>
        <w:t xml:space="preserve">vs </w:t>
      </w:r>
      <w:r>
        <w:rPr>
          <w:rFonts w:ascii="Times New Roman" w:hAnsi="Times New Roman" w:cs="Times New Roman"/>
          <w:sz w:val="24"/>
          <w:szCs w:val="24"/>
          <w:lang w:val="es-ES"/>
        </w:rPr>
        <w:t xml:space="preserve">PIB </w:t>
      </w:r>
      <w:r w:rsidRPr="000E46E7">
        <w:rPr>
          <w:rFonts w:ascii="Times New Roman" w:hAnsi="Times New Roman" w:cs="Times New Roman"/>
          <w:sz w:val="24"/>
          <w:szCs w:val="24"/>
          <w:lang w:val="es-ES"/>
        </w:rPr>
        <w:t xml:space="preserve">per cápita. Fuente: </w:t>
      </w:r>
      <w:proofErr w:type="spellStart"/>
      <w:r w:rsidRPr="009342ED">
        <w:rPr>
          <w:rFonts w:ascii="Times New Roman" w:hAnsi="Times New Roman" w:cs="Times New Roman"/>
          <w:sz w:val="24"/>
          <w:szCs w:val="24"/>
        </w:rPr>
        <w:t>Porter</w:t>
      </w:r>
      <w:proofErr w:type="spellEnd"/>
      <w:r w:rsidRPr="009342ED">
        <w:rPr>
          <w:rFonts w:ascii="Times New Roman" w:hAnsi="Times New Roman" w:cs="Times New Roman"/>
          <w:sz w:val="24"/>
          <w:szCs w:val="24"/>
        </w:rPr>
        <w:t xml:space="preserve">, </w:t>
      </w:r>
      <w:proofErr w:type="spellStart"/>
      <w:r w:rsidRPr="009342ED">
        <w:rPr>
          <w:rFonts w:ascii="Times New Roman" w:hAnsi="Times New Roman" w:cs="Times New Roman"/>
          <w:sz w:val="24"/>
          <w:szCs w:val="24"/>
        </w:rPr>
        <w:t>Stern</w:t>
      </w:r>
      <w:proofErr w:type="spellEnd"/>
      <w:r w:rsidRPr="009342ED">
        <w:rPr>
          <w:rFonts w:ascii="Times New Roman" w:hAnsi="Times New Roman" w:cs="Times New Roman"/>
          <w:sz w:val="24"/>
          <w:szCs w:val="24"/>
        </w:rPr>
        <w:t xml:space="preserve"> y Green (2016).</w:t>
      </w:r>
    </w:p>
    <w:p w:rsidR="009C60B9" w:rsidRDefault="009C60B9" w:rsidP="009C60B9">
      <w:pPr>
        <w:spacing w:line="240" w:lineRule="auto"/>
        <w:jc w:val="center"/>
        <w:rPr>
          <w:rFonts w:ascii="Times New Roman" w:hAnsi="Times New Roman" w:cs="Times New Roman"/>
          <w:sz w:val="24"/>
          <w:szCs w:val="24"/>
        </w:rPr>
      </w:pPr>
    </w:p>
    <w:p w:rsidR="009C60B9" w:rsidRPr="009342ED" w:rsidRDefault="009C60B9" w:rsidP="009C60B9">
      <w:pPr>
        <w:spacing w:line="240" w:lineRule="auto"/>
        <w:jc w:val="center"/>
        <w:rPr>
          <w:rFonts w:ascii="Times New Roman" w:hAnsi="Times New Roman" w:cs="Times New Roman"/>
          <w:sz w:val="24"/>
          <w:szCs w:val="24"/>
        </w:rPr>
      </w:pPr>
    </w:p>
    <w:p w:rsidR="009C60B9" w:rsidRPr="009342ED" w:rsidRDefault="009C60B9" w:rsidP="009C60B9">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Parece que sería una buena referencia de crecimiento necesario para maximizar el progreso social aproximadamente $25</w:t>
      </w:r>
      <w:r>
        <w:rPr>
          <w:rFonts w:ascii="Times New Roman" w:hAnsi="Times New Roman" w:cs="Times New Roman"/>
          <w:sz w:val="24"/>
          <w:szCs w:val="24"/>
        </w:rPr>
        <w:t>,</w:t>
      </w:r>
      <w:r w:rsidRPr="009342ED">
        <w:rPr>
          <w:rFonts w:ascii="Times New Roman" w:hAnsi="Times New Roman" w:cs="Times New Roman"/>
          <w:sz w:val="24"/>
          <w:szCs w:val="24"/>
        </w:rPr>
        <w:t>000 por persona. Después de ello, son principalmente otros factores los que hacen una contribución significativa al progreso social. Ecuador al 2015 tiene un PIB por persona de $6</w:t>
      </w:r>
      <w:r>
        <w:rPr>
          <w:rFonts w:ascii="Times New Roman" w:hAnsi="Times New Roman" w:cs="Times New Roman"/>
          <w:sz w:val="24"/>
          <w:szCs w:val="24"/>
        </w:rPr>
        <w:t>,</w:t>
      </w:r>
      <w:r w:rsidRPr="009342ED">
        <w:rPr>
          <w:rFonts w:ascii="Times New Roman" w:hAnsi="Times New Roman" w:cs="Times New Roman"/>
          <w:sz w:val="24"/>
          <w:szCs w:val="24"/>
        </w:rPr>
        <w:t xml:space="preserve">205 en dólares corrientes, de acuerdo a los datos del Banco Mundial. </w:t>
      </w:r>
      <w:r>
        <w:rPr>
          <w:rFonts w:ascii="Times New Roman" w:hAnsi="Times New Roman" w:cs="Times New Roman"/>
          <w:sz w:val="24"/>
          <w:szCs w:val="24"/>
        </w:rPr>
        <w:t>Esto quiere decir que todavía el Ecuador tiene un espacio importante para crecer económicamente con el fin de mejorar su progreso social.</w:t>
      </w:r>
    </w:p>
    <w:p w:rsidR="00BF442D" w:rsidRDefault="00BF442D">
      <w:bookmarkStart w:id="0" w:name="_GoBack"/>
      <w:bookmarkEnd w:id="0"/>
    </w:p>
    <w:sectPr w:rsidR="00BF442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2D"/>
    <w:rsid w:val="000457E6"/>
    <w:rsid w:val="003C772E"/>
    <w:rsid w:val="00624D69"/>
    <w:rsid w:val="00655A68"/>
    <w:rsid w:val="00691D32"/>
    <w:rsid w:val="006C6F94"/>
    <w:rsid w:val="00913055"/>
    <w:rsid w:val="009A34A0"/>
    <w:rsid w:val="009C60B9"/>
    <w:rsid w:val="00A318BA"/>
    <w:rsid w:val="00A606C2"/>
    <w:rsid w:val="00B33AD2"/>
    <w:rsid w:val="00BF442D"/>
    <w:rsid w:val="00C4179C"/>
    <w:rsid w:val="00CB4C74"/>
    <w:rsid w:val="00DB506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A3CC9B-54DD-47FD-B06A-E5B2979F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740</Words>
  <Characters>4071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 WARS</dc:creator>
  <cp:keywords/>
  <dc:description/>
  <cp:lastModifiedBy>STAR WARS</cp:lastModifiedBy>
  <cp:revision>3</cp:revision>
  <dcterms:created xsi:type="dcterms:W3CDTF">2017-12-30T03:28:00Z</dcterms:created>
  <dcterms:modified xsi:type="dcterms:W3CDTF">2018-01-02T16:48:00Z</dcterms:modified>
</cp:coreProperties>
</file>