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AD2" w:rsidRDefault="00BF442D">
      <w:r w:rsidRPr="00BF442D">
        <w:rPr>
          <w:noProof/>
          <w:lang w:eastAsia="es-EC"/>
        </w:rPr>
        <w:drawing>
          <wp:inline distT="0" distB="0" distL="0" distR="0">
            <wp:extent cx="5400040" cy="7406783"/>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7406783"/>
                    </a:xfrm>
                    <a:prstGeom prst="rect">
                      <a:avLst/>
                    </a:prstGeom>
                    <a:noFill/>
                    <a:ln>
                      <a:noFill/>
                    </a:ln>
                  </pic:spPr>
                </pic:pic>
              </a:graphicData>
            </a:graphic>
          </wp:inline>
        </w:drawing>
      </w:r>
      <w:r w:rsidRPr="00BF442D">
        <w:rPr>
          <w:noProof/>
          <w:lang w:eastAsia="es-EC"/>
        </w:rPr>
        <w:lastRenderedPageBreak/>
        <w:drawing>
          <wp:inline distT="0" distB="0" distL="0" distR="0">
            <wp:extent cx="5400040" cy="757930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7579300"/>
                    </a:xfrm>
                    <a:prstGeom prst="rect">
                      <a:avLst/>
                    </a:prstGeom>
                    <a:noFill/>
                    <a:ln>
                      <a:noFill/>
                    </a:ln>
                  </pic:spPr>
                </pic:pic>
              </a:graphicData>
            </a:graphic>
          </wp:inline>
        </w:drawing>
      </w:r>
    </w:p>
    <w:p w:rsidR="00BF442D" w:rsidRDefault="00BF442D"/>
    <w:p w:rsidR="00BF442D" w:rsidRDefault="00BF442D"/>
    <w:p w:rsidR="00BF442D" w:rsidRDefault="00BF442D"/>
    <w:p w:rsidR="00BF442D" w:rsidRDefault="00BF442D"/>
    <w:p w:rsidR="00BF442D" w:rsidRDefault="00BF442D"/>
    <w:p w:rsidR="00BF442D" w:rsidRDefault="00BF442D">
      <w:r>
        <w:t xml:space="preserve">Ponencia presentada para en la Conferencia sobre el Atlas del derecho a la educación en los años de la Revolución Ciudadana, </w:t>
      </w:r>
      <w:r w:rsidR="000C1F83">
        <w:t>Zamora</w:t>
      </w:r>
      <w:r>
        <w:t xml:space="preserve">, </w:t>
      </w:r>
      <w:r w:rsidR="000C1F83">
        <w:t>28</w:t>
      </w:r>
      <w:r>
        <w:t xml:space="preserve"> de Marzo, 2017</w:t>
      </w:r>
    </w:p>
    <w:p w:rsidR="000C1F83" w:rsidRPr="00A952D4" w:rsidRDefault="000C1F83" w:rsidP="000C1F83">
      <w:pPr>
        <w:numPr>
          <w:ilvl w:val="0"/>
          <w:numId w:val="1"/>
        </w:numPr>
        <w:spacing w:after="0" w:line="240" w:lineRule="auto"/>
        <w:jc w:val="both"/>
        <w:rPr>
          <w:rFonts w:ascii="Times New Roman" w:hAnsi="Times New Roman" w:cs="Times New Roman"/>
          <w:b/>
          <w:sz w:val="32"/>
          <w:szCs w:val="32"/>
        </w:rPr>
      </w:pPr>
      <w:r w:rsidRPr="00A952D4">
        <w:rPr>
          <w:rFonts w:ascii="Times New Roman" w:hAnsi="Times New Roman" w:cs="Times New Roman"/>
          <w:b/>
          <w:sz w:val="32"/>
          <w:szCs w:val="32"/>
        </w:rPr>
        <w:t xml:space="preserve">La educación, base de la democracia </w:t>
      </w:r>
    </w:p>
    <w:p w:rsidR="000C1F83" w:rsidRPr="009342ED" w:rsidRDefault="000C1F83" w:rsidP="000C1F83">
      <w:pPr>
        <w:spacing w:line="240" w:lineRule="auto"/>
        <w:jc w:val="both"/>
        <w:rPr>
          <w:rFonts w:ascii="Times New Roman" w:hAnsi="Times New Roman" w:cs="Times New Roman"/>
          <w:sz w:val="24"/>
          <w:szCs w:val="24"/>
        </w:rPr>
      </w:pPr>
    </w:p>
    <w:p w:rsidR="000C1F83" w:rsidRDefault="000C1F83" w:rsidP="000C1F8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La democracia es un sistema bajo el cual el pueblo libre e informado se gobierna a sí mismo, ya sea directamente o por medio de un gobierno representativo, o una combinación, para garantizar sus derechos y alcanzar sus aspiraciones. Existen tres modelos pertinentes de cómo puede ser configurado </w:t>
      </w:r>
      <w:proofErr w:type="spellStart"/>
      <w:r>
        <w:rPr>
          <w:rFonts w:ascii="Times New Roman" w:hAnsi="Times New Roman" w:cs="Times New Roman"/>
          <w:sz w:val="24"/>
          <w:szCs w:val="24"/>
        </w:rPr>
        <w:t>ésto</w:t>
      </w:r>
      <w:proofErr w:type="spellEnd"/>
      <w:r>
        <w:rPr>
          <w:rFonts w:ascii="Times New Roman" w:hAnsi="Times New Roman" w:cs="Times New Roman"/>
          <w:sz w:val="24"/>
          <w:szCs w:val="24"/>
        </w:rPr>
        <w:t>. En el modelo de democracia minimalista (</w:t>
      </w:r>
      <w:proofErr w:type="spellStart"/>
      <w:r>
        <w:rPr>
          <w:rFonts w:ascii="Times New Roman" w:hAnsi="Times New Roman" w:cs="Times New Roman"/>
          <w:sz w:val="24"/>
          <w:szCs w:val="24"/>
        </w:rPr>
        <w:t>Schumpeter</w:t>
      </w:r>
      <w:proofErr w:type="spellEnd"/>
      <w:r>
        <w:rPr>
          <w:rFonts w:ascii="Times New Roman" w:hAnsi="Times New Roman" w:cs="Times New Roman"/>
          <w:sz w:val="24"/>
          <w:szCs w:val="24"/>
        </w:rPr>
        <w:t xml:space="preserve">, 1942; </w:t>
      </w:r>
      <w:proofErr w:type="spellStart"/>
      <w:r>
        <w:rPr>
          <w:rFonts w:ascii="Times New Roman" w:hAnsi="Times New Roman" w:cs="Times New Roman"/>
          <w:sz w:val="24"/>
          <w:szCs w:val="24"/>
        </w:rPr>
        <w:t>Przeworski</w:t>
      </w:r>
      <w:proofErr w:type="spellEnd"/>
      <w:r>
        <w:rPr>
          <w:rFonts w:ascii="Times New Roman" w:hAnsi="Times New Roman" w:cs="Times New Roman"/>
          <w:sz w:val="24"/>
          <w:szCs w:val="24"/>
        </w:rPr>
        <w:t>, 1999; Huntington, 1991) las formas procedimentales de selección de liderazgo por elección se establecen, mientras se garantizan los intereses y derechos de una élite que se turna el poder con el fin de garantizar la estabilidad del sistema. La justicia es simplemente un discurso político para obtener votos y es legítimo mentir con este fin, en nombre de la libertad de expresión en el procedimiento de selección de liderazgo. La justicia no es el fin esta organización social, sino que se contenta con la estabilidad del método de selección de liderazgo. Este es el tipo de democracia que rigió al Ecuador desde 1982 hasta 1996, como confirma la historia política del manejo de la deuda para transferirle a la sociedad los pasivos de actores privados bien conectados, incrementado la desigualdad y desmantelando los derechos de la población en general.</w:t>
      </w:r>
    </w:p>
    <w:p w:rsidR="000C1F83" w:rsidRDefault="000C1F83" w:rsidP="000C1F83">
      <w:pPr>
        <w:spacing w:line="240" w:lineRule="auto"/>
        <w:jc w:val="both"/>
        <w:rPr>
          <w:rFonts w:ascii="Times New Roman" w:hAnsi="Times New Roman" w:cs="Times New Roman"/>
          <w:sz w:val="24"/>
          <w:szCs w:val="24"/>
        </w:rPr>
      </w:pPr>
    </w:p>
    <w:p w:rsidR="000C1F83" w:rsidRDefault="000C1F83" w:rsidP="000C1F83">
      <w:pPr>
        <w:spacing w:line="240" w:lineRule="auto"/>
        <w:jc w:val="both"/>
        <w:rPr>
          <w:rFonts w:ascii="Times New Roman" w:hAnsi="Times New Roman" w:cs="Times New Roman"/>
          <w:sz w:val="24"/>
          <w:szCs w:val="24"/>
        </w:rPr>
      </w:pPr>
      <w:r>
        <w:rPr>
          <w:rFonts w:ascii="Times New Roman" w:hAnsi="Times New Roman" w:cs="Times New Roman"/>
          <w:sz w:val="24"/>
          <w:szCs w:val="24"/>
        </w:rPr>
        <w:t>Este régimen de injusticia continuó y se acentuó con la imposición de la Constitución de 1998 por un grupo sin autorización ni legitimidad para hacerlo. La Constitución impuesta contenía el mecanismo para salvar a los banqueros con fondos públicos y de nuevo seguir redistribuyendo hacia abajo las pérdidas de las élites y hacia arriba la riqueza de la nación, apalancado por el colapso del sistema financiero. Con el congelamiento de los depósitos mientras se dolarizaba la economía y perdían 60% de su valor, el colapso de 8% del PIB, el incremento en 44% de la tasa de pobreza y el desplazamiento del 15% de la población, el Ecuador tuvo en promedio un jefe de Estado al año entre 1996 y 2006. Incluso la estabilidad insigne de la democracia minimalista desapareció. Con ello sólo quedó una democracia falsa que continuaba con el modelo neoliberal.</w:t>
      </w:r>
    </w:p>
    <w:p w:rsidR="000C1F83" w:rsidRDefault="000C1F83" w:rsidP="000C1F83">
      <w:pPr>
        <w:spacing w:line="240" w:lineRule="auto"/>
        <w:jc w:val="both"/>
        <w:rPr>
          <w:rFonts w:ascii="Times New Roman" w:hAnsi="Times New Roman" w:cs="Times New Roman"/>
          <w:sz w:val="24"/>
          <w:szCs w:val="24"/>
        </w:rPr>
      </w:pPr>
    </w:p>
    <w:p w:rsidR="000C1F83" w:rsidRDefault="000C1F83" w:rsidP="000C1F8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Como se ha descrito anteriormente, para salir de estos modelos de organización social, se han creado planes de desarrollo con el fin de garantizar los derechos humanos de todos de tal manera que sea un pueblo realmente libre el que tome decisiones basadas en verdad y justicia, así brindándole sustancia a la democracia. Para ello, se ha reorganizado y reconstituido el Estado con una nueva Constitución, el Legislativo se ha compuesto por nuevos actores, se ha llevado a cabo una reforma judicial que ha aumentado la productividad de sus competencias sustancialmente, se ha reformado el sistema financiero para que esté bajo control democrático y no vuelva a colapsar al país, se ha adquirido un nuevo control público sobre los recursos naturales, se ha </w:t>
      </w:r>
      <w:r w:rsidRPr="007042F4">
        <w:rPr>
          <w:rFonts w:ascii="Times New Roman" w:hAnsi="Times New Roman" w:cs="Times New Roman"/>
          <w:sz w:val="24"/>
          <w:szCs w:val="24"/>
        </w:rPr>
        <w:t>construido una</w:t>
      </w:r>
      <w:r>
        <w:rPr>
          <w:rFonts w:ascii="Times New Roman" w:hAnsi="Times New Roman" w:cs="Times New Roman"/>
          <w:sz w:val="24"/>
          <w:szCs w:val="24"/>
        </w:rPr>
        <w:t xml:space="preserve"> nueva matriz energética verde no dependiente de importaciones y combustibles fósil, y se ha construido los cimientos de un régimen de bienestar, del cual la educación es parte central. Esta acción colectiva le ha permitido al Ecuador no solo garantizar altos niveles de </w:t>
      </w:r>
      <w:r w:rsidRPr="007042F4">
        <w:rPr>
          <w:rFonts w:ascii="Times New Roman" w:hAnsi="Times New Roman" w:cs="Times New Roman"/>
          <w:sz w:val="24"/>
          <w:szCs w:val="24"/>
        </w:rPr>
        <w:t>estabilidad sino avanzar</w:t>
      </w:r>
      <w:r>
        <w:rPr>
          <w:rFonts w:ascii="Times New Roman" w:hAnsi="Times New Roman" w:cs="Times New Roman"/>
          <w:sz w:val="24"/>
          <w:szCs w:val="24"/>
        </w:rPr>
        <w:t xml:space="preserve"> hacia la justicia, con alta participación ciudadana en términos comparados histórica y globalmente. Cuando se consideran los derechos de la naturaleza, </w:t>
      </w:r>
      <w:r>
        <w:rPr>
          <w:rFonts w:ascii="Times New Roman" w:hAnsi="Times New Roman" w:cs="Times New Roman"/>
          <w:sz w:val="24"/>
          <w:szCs w:val="24"/>
        </w:rPr>
        <w:lastRenderedPageBreak/>
        <w:t>junto con los humanos, tenemos el horizonte de la democracia del Buen Vivir. La educación para formar ciudadanos que valoran la verdad y la justicia es la fuente primordial de continuo avance en la construcción de este tipo de organización social basado en el progreso social y ambiental.</w:t>
      </w:r>
    </w:p>
    <w:p w:rsidR="000C1F83" w:rsidRDefault="000C1F83" w:rsidP="000C1F83">
      <w:pPr>
        <w:spacing w:line="240" w:lineRule="auto"/>
        <w:jc w:val="both"/>
        <w:rPr>
          <w:rFonts w:ascii="Times New Roman" w:hAnsi="Times New Roman" w:cs="Times New Roman"/>
          <w:sz w:val="24"/>
          <w:szCs w:val="24"/>
        </w:rPr>
      </w:pPr>
    </w:p>
    <w:p w:rsidR="000C1F83" w:rsidRPr="009342ED" w:rsidRDefault="000C1F83" w:rsidP="000C1F8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Sin identificarlo con el desarrollo social esencial para una democracia del Buen Vivir en sí, dentro de los objetivos de desarrollo del Ecuador está el crecimiento económico y la educación también puede aportar a esto. </w:t>
      </w:r>
      <w:r w:rsidRPr="009342ED">
        <w:rPr>
          <w:rFonts w:ascii="Times New Roman" w:hAnsi="Times New Roman" w:cs="Times New Roman"/>
          <w:sz w:val="24"/>
          <w:szCs w:val="24"/>
        </w:rPr>
        <w:t xml:space="preserve">El estudio de </w:t>
      </w:r>
      <w:proofErr w:type="spellStart"/>
      <w:r w:rsidRPr="009342ED">
        <w:rPr>
          <w:rFonts w:ascii="Times New Roman" w:hAnsi="Times New Roman" w:cs="Times New Roman"/>
          <w:sz w:val="24"/>
          <w:szCs w:val="24"/>
        </w:rPr>
        <w:t>Bruns</w:t>
      </w:r>
      <w:proofErr w:type="spellEnd"/>
      <w:r w:rsidRPr="009342ED">
        <w:rPr>
          <w:rFonts w:ascii="Times New Roman" w:hAnsi="Times New Roman" w:cs="Times New Roman"/>
          <w:sz w:val="24"/>
          <w:szCs w:val="24"/>
        </w:rPr>
        <w:t xml:space="preserve"> y Luque indica que hay una relación entre el desempeño en los estudios PISA y la tasa de crecimiento económico</w:t>
      </w:r>
      <w:r>
        <w:rPr>
          <w:rFonts w:ascii="Times New Roman" w:hAnsi="Times New Roman" w:cs="Times New Roman"/>
          <w:sz w:val="24"/>
          <w:szCs w:val="24"/>
        </w:rPr>
        <w:t>.</w:t>
      </w:r>
    </w:p>
    <w:p w:rsidR="000C1F83" w:rsidRPr="009342ED" w:rsidRDefault="000C1F83" w:rsidP="000C1F83">
      <w:pPr>
        <w:spacing w:line="240" w:lineRule="auto"/>
        <w:jc w:val="both"/>
        <w:rPr>
          <w:rFonts w:ascii="Times New Roman" w:hAnsi="Times New Roman" w:cs="Times New Roman"/>
          <w:sz w:val="24"/>
          <w:szCs w:val="24"/>
        </w:rPr>
      </w:pPr>
    </w:p>
    <w:p w:rsidR="000C1F83" w:rsidRPr="009342ED" w:rsidRDefault="000C1F83" w:rsidP="000C1F83">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extent cx="4547235" cy="2861945"/>
            <wp:effectExtent l="0" t="0" r="5715" b="0"/>
            <wp:docPr id="3" name="Imagen 3" descr="Gráfico Capacidades cognitivas y crecimiento económico a largo plazo en las regiones, 196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Capacidades cognitivas y crecimiento económico a largo plazo en las regiones, 1960-20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7235" cy="2861945"/>
                    </a:xfrm>
                    <a:prstGeom prst="rect">
                      <a:avLst/>
                    </a:prstGeom>
                    <a:noFill/>
                    <a:ln>
                      <a:noFill/>
                    </a:ln>
                  </pic:spPr>
                </pic:pic>
              </a:graphicData>
            </a:graphic>
          </wp:inline>
        </w:drawing>
      </w:r>
    </w:p>
    <w:p w:rsidR="000C1F83" w:rsidRDefault="000C1F83" w:rsidP="000C1F83">
      <w:pPr>
        <w:spacing w:line="240" w:lineRule="auto"/>
        <w:jc w:val="center"/>
        <w:rPr>
          <w:rFonts w:ascii="Times New Roman" w:hAnsi="Times New Roman" w:cs="Times New Roman"/>
          <w:sz w:val="24"/>
          <w:szCs w:val="24"/>
        </w:rPr>
      </w:pPr>
    </w:p>
    <w:p w:rsidR="000C1F83" w:rsidRDefault="000C1F83" w:rsidP="000C1F83">
      <w:pPr>
        <w:spacing w:line="240" w:lineRule="auto"/>
        <w:jc w:val="center"/>
        <w:rPr>
          <w:rFonts w:ascii="Times New Roman" w:hAnsi="Times New Roman" w:cs="Times New Roman"/>
          <w:sz w:val="24"/>
          <w:szCs w:val="24"/>
          <w:lang w:val="es-ES"/>
        </w:rPr>
      </w:pPr>
      <w:r>
        <w:rPr>
          <w:rFonts w:ascii="Times New Roman" w:hAnsi="Times New Roman" w:cs="Times New Roman"/>
          <w:sz w:val="24"/>
          <w:szCs w:val="24"/>
        </w:rPr>
        <w:t xml:space="preserve">Gráfico 84. Capacidades cognitivas y crecimiento económico a largo plazo en las regiones, 1960-2000. Fuente: </w:t>
      </w:r>
      <w:proofErr w:type="spellStart"/>
      <w:r>
        <w:rPr>
          <w:rFonts w:ascii="Times New Roman" w:hAnsi="Times New Roman" w:cs="Times New Roman"/>
          <w:sz w:val="24"/>
          <w:szCs w:val="24"/>
        </w:rPr>
        <w:t>Hanushek</w:t>
      </w:r>
      <w:proofErr w:type="spellEnd"/>
      <w:r>
        <w:rPr>
          <w:rFonts w:ascii="Times New Roman" w:hAnsi="Times New Roman" w:cs="Times New Roman"/>
          <w:sz w:val="24"/>
          <w:szCs w:val="24"/>
        </w:rPr>
        <w:t xml:space="preserve">, Peterson y </w:t>
      </w:r>
      <w:proofErr w:type="spellStart"/>
      <w:r>
        <w:rPr>
          <w:rFonts w:ascii="Times New Roman" w:hAnsi="Times New Roman" w:cs="Times New Roman"/>
          <w:sz w:val="24"/>
          <w:szCs w:val="24"/>
        </w:rPr>
        <w:t>Woessmann</w:t>
      </w:r>
      <w:proofErr w:type="spellEnd"/>
      <w:r>
        <w:rPr>
          <w:rFonts w:ascii="Times New Roman" w:hAnsi="Times New Roman" w:cs="Times New Roman"/>
          <w:sz w:val="24"/>
          <w:szCs w:val="24"/>
        </w:rPr>
        <w:t xml:space="preserve"> (2012). Nota: En este gráfico se compara la tasa de crecimiento anual promedio (en porcentaje del PIB real per cápita en el período 1960</w:t>
      </w:r>
      <w:r w:rsidRPr="003755C1">
        <w:rPr>
          <w:rFonts w:ascii="Times New Roman" w:hAnsi="Times New Roman" w:cs="Times New Roman"/>
          <w:sz w:val="24"/>
          <w:szCs w:val="24"/>
          <w:lang w:val="es-ES"/>
        </w:rPr>
        <w:t>-</w:t>
      </w:r>
      <w:r>
        <w:rPr>
          <w:rFonts w:ascii="Times New Roman" w:hAnsi="Times New Roman" w:cs="Times New Roman"/>
          <w:sz w:val="24"/>
          <w:szCs w:val="24"/>
        </w:rPr>
        <w:t xml:space="preserve">2000 </w:t>
      </w:r>
      <w:r>
        <w:rPr>
          <w:rFonts w:ascii="Times New Roman" w:hAnsi="Times New Roman" w:cs="Times New Roman"/>
          <w:sz w:val="24"/>
          <w:szCs w:val="24"/>
          <w:lang w:val="es-ES"/>
        </w:rPr>
        <w:t>(ajustado en función del nivel del PIB per cápita en 1960) con los puntajes promedio extraídos de pruebas internacionales realizadas a estudiantes en este periodo. Códigos de región: SSAFR</w:t>
      </w:r>
      <w:r w:rsidRPr="003755C1">
        <w:rPr>
          <w:rFonts w:ascii="Times New Roman" w:hAnsi="Times New Roman" w:cs="Times New Roman"/>
          <w:sz w:val="24"/>
          <w:szCs w:val="24"/>
          <w:lang w:val="es-ES"/>
        </w:rPr>
        <w:t>=</w:t>
      </w:r>
      <w:r>
        <w:rPr>
          <w:rFonts w:ascii="Times New Roman" w:hAnsi="Times New Roman" w:cs="Times New Roman"/>
          <w:sz w:val="24"/>
          <w:szCs w:val="24"/>
          <w:lang w:val="es-ES"/>
        </w:rPr>
        <w:t>África al sur del Sahara; LATAM=América Latina; ASIA</w:t>
      </w:r>
      <w:r w:rsidRPr="003755C1">
        <w:rPr>
          <w:rFonts w:ascii="Times New Roman" w:hAnsi="Times New Roman" w:cs="Times New Roman"/>
          <w:sz w:val="24"/>
          <w:szCs w:val="24"/>
          <w:lang w:val="es-ES"/>
        </w:rPr>
        <w:t>=</w:t>
      </w:r>
      <w:r>
        <w:rPr>
          <w:rFonts w:ascii="Times New Roman" w:hAnsi="Times New Roman" w:cs="Times New Roman"/>
          <w:sz w:val="24"/>
          <w:szCs w:val="24"/>
          <w:lang w:val="es-ES"/>
        </w:rPr>
        <w:t>Asia; COMM</w:t>
      </w:r>
      <w:r w:rsidRPr="003755C1">
        <w:rPr>
          <w:rFonts w:ascii="Times New Roman" w:hAnsi="Times New Roman" w:cs="Times New Roman"/>
          <w:sz w:val="24"/>
          <w:szCs w:val="24"/>
          <w:lang w:val="es-ES"/>
        </w:rPr>
        <w:t>=países del Commonwealth miembros de la OCDE</w:t>
      </w:r>
      <w:r>
        <w:rPr>
          <w:rFonts w:ascii="Times New Roman" w:hAnsi="Times New Roman" w:cs="Times New Roman"/>
          <w:sz w:val="24"/>
          <w:szCs w:val="24"/>
          <w:lang w:val="es-ES"/>
        </w:rPr>
        <w:t>; EURO</w:t>
      </w:r>
      <w:r w:rsidRPr="003755C1">
        <w:rPr>
          <w:rFonts w:ascii="Times New Roman" w:hAnsi="Times New Roman" w:cs="Times New Roman"/>
          <w:sz w:val="24"/>
          <w:szCs w:val="24"/>
          <w:lang w:val="es-ES"/>
        </w:rPr>
        <w:t>=</w:t>
      </w:r>
      <w:r>
        <w:rPr>
          <w:rFonts w:ascii="Times New Roman" w:hAnsi="Times New Roman" w:cs="Times New Roman"/>
          <w:sz w:val="24"/>
          <w:szCs w:val="24"/>
          <w:lang w:val="es-ES"/>
        </w:rPr>
        <w:t>Europa; MENA</w:t>
      </w:r>
      <w:r w:rsidRPr="003755C1">
        <w:rPr>
          <w:rFonts w:ascii="Times New Roman" w:hAnsi="Times New Roman" w:cs="Times New Roman"/>
          <w:sz w:val="24"/>
          <w:szCs w:val="24"/>
          <w:lang w:val="es-ES"/>
        </w:rPr>
        <w:t>=</w:t>
      </w:r>
      <w:r>
        <w:rPr>
          <w:rFonts w:ascii="Times New Roman" w:hAnsi="Times New Roman" w:cs="Times New Roman"/>
          <w:sz w:val="24"/>
          <w:szCs w:val="24"/>
          <w:lang w:val="es-ES"/>
        </w:rPr>
        <w:t>Oriente Medio y Norte de África.</w:t>
      </w:r>
    </w:p>
    <w:p w:rsidR="000C1F83" w:rsidRDefault="000C1F83" w:rsidP="000C1F83">
      <w:pPr>
        <w:spacing w:line="240" w:lineRule="auto"/>
        <w:jc w:val="center"/>
        <w:rPr>
          <w:rFonts w:ascii="Times New Roman" w:hAnsi="Times New Roman" w:cs="Times New Roman"/>
          <w:sz w:val="24"/>
          <w:szCs w:val="24"/>
          <w:lang w:val="es-ES"/>
        </w:rPr>
      </w:pPr>
    </w:p>
    <w:p w:rsidR="000C1F83" w:rsidRPr="009342ED" w:rsidRDefault="000C1F83" w:rsidP="000C1F83">
      <w:pPr>
        <w:spacing w:line="240" w:lineRule="auto"/>
        <w:rPr>
          <w:rFonts w:ascii="Times New Roman" w:hAnsi="Times New Roman" w:cs="Times New Roman"/>
          <w:sz w:val="24"/>
          <w:szCs w:val="24"/>
        </w:rPr>
      </w:pPr>
      <w:r w:rsidRPr="009342ED">
        <w:rPr>
          <w:rFonts w:ascii="Times New Roman" w:hAnsi="Times New Roman" w:cs="Times New Roman"/>
          <w:sz w:val="24"/>
          <w:szCs w:val="24"/>
        </w:rPr>
        <w:t>Sin embargo, Chang argumenta que la relación es más compleja:</w:t>
      </w:r>
    </w:p>
    <w:p w:rsidR="000C1F83" w:rsidRPr="009342ED" w:rsidRDefault="000C1F83" w:rsidP="000C1F83">
      <w:pPr>
        <w:spacing w:line="240" w:lineRule="auto"/>
        <w:rPr>
          <w:rFonts w:ascii="Times New Roman" w:hAnsi="Times New Roman" w:cs="Times New Roman"/>
          <w:sz w:val="24"/>
          <w:szCs w:val="24"/>
        </w:rPr>
      </w:pPr>
    </w:p>
    <w:p w:rsidR="000C1F83" w:rsidRPr="009342ED" w:rsidRDefault="000C1F83" w:rsidP="000C1F83">
      <w:pPr>
        <w:spacing w:line="240" w:lineRule="auto"/>
        <w:ind w:left="630" w:right="900"/>
        <w:jc w:val="both"/>
        <w:rPr>
          <w:rFonts w:ascii="Times New Roman" w:hAnsi="Times New Roman" w:cs="Times New Roman"/>
          <w:sz w:val="24"/>
          <w:szCs w:val="24"/>
        </w:rPr>
      </w:pPr>
      <w:r w:rsidRPr="009342ED">
        <w:rPr>
          <w:rFonts w:ascii="Times New Roman" w:hAnsi="Times New Roman" w:cs="Times New Roman"/>
          <w:sz w:val="24"/>
          <w:szCs w:val="24"/>
        </w:rPr>
        <w:t xml:space="preserve">En 1960, Taiwán tenía una tasa de alfabetismo de sólo 54%, mientras que la de las Filipinas era de 72%. A pesar de su menor nivel de educación, Taiwán consiguió uno de los mayores desempeños de crecimiento económico de la historia de la humanidad, mientras que Filipinas se desempeñó pobremente. En 1960, Filipinas tenía un ingreso per cápita de casi el doble del de Taiwán (US$200 vs. US$122), pero hoy el ingreso </w:t>
      </w:r>
      <w:r w:rsidRPr="009342ED">
        <w:rPr>
          <w:rFonts w:ascii="Times New Roman" w:hAnsi="Times New Roman" w:cs="Times New Roman"/>
          <w:sz w:val="24"/>
          <w:szCs w:val="24"/>
        </w:rPr>
        <w:lastRenderedPageBreak/>
        <w:t>per cápita de Taiwán es alrededor de diez veces superior al de Filipinas (US$18</w:t>
      </w:r>
      <w:r>
        <w:rPr>
          <w:rFonts w:ascii="Times New Roman" w:hAnsi="Times New Roman" w:cs="Times New Roman"/>
          <w:sz w:val="24"/>
          <w:szCs w:val="24"/>
        </w:rPr>
        <w:t>,</w:t>
      </w:r>
      <w:r w:rsidRPr="009342ED">
        <w:rPr>
          <w:rFonts w:ascii="Times New Roman" w:hAnsi="Times New Roman" w:cs="Times New Roman"/>
          <w:sz w:val="24"/>
          <w:szCs w:val="24"/>
        </w:rPr>
        <w:t>000 vs US$1</w:t>
      </w:r>
      <w:r>
        <w:rPr>
          <w:rFonts w:ascii="Times New Roman" w:hAnsi="Times New Roman" w:cs="Times New Roman"/>
          <w:sz w:val="24"/>
          <w:szCs w:val="24"/>
        </w:rPr>
        <w:t>,</w:t>
      </w:r>
      <w:r w:rsidRPr="009342ED">
        <w:rPr>
          <w:rFonts w:ascii="Times New Roman" w:hAnsi="Times New Roman" w:cs="Times New Roman"/>
          <w:sz w:val="24"/>
          <w:szCs w:val="24"/>
        </w:rPr>
        <w:t>800). En el mismo año, Corea tuvo una tasa de alfabetismo del 71% –comparable a la de Filipinas aunque aún muy por debajo del 91% de la Argentina–. A pesar del alfabetismo notablemente inferior, Corea creció desde entonces mucho más rápido que la Argentina. El ingreso per cápita de Corea fue apenas superior a un quinto del de la Argentina en 1960 (US$82 vs US$378). Hoy en día es tres veces superior (alrededor de US$21000 vs cerca de US$7000) (</w:t>
      </w:r>
      <w:r>
        <w:rPr>
          <w:rFonts w:ascii="Times New Roman" w:hAnsi="Times New Roman" w:cs="Times New Roman"/>
          <w:sz w:val="24"/>
          <w:szCs w:val="24"/>
        </w:rPr>
        <w:t xml:space="preserve">Chang, 2011: </w:t>
      </w:r>
      <w:r w:rsidRPr="009342ED">
        <w:rPr>
          <w:rFonts w:ascii="Times New Roman" w:hAnsi="Times New Roman" w:cs="Times New Roman"/>
          <w:sz w:val="24"/>
          <w:szCs w:val="24"/>
        </w:rPr>
        <w:t>50)</w:t>
      </w:r>
      <w:r>
        <w:rPr>
          <w:rFonts w:ascii="Times New Roman" w:hAnsi="Times New Roman" w:cs="Times New Roman"/>
          <w:sz w:val="24"/>
          <w:szCs w:val="24"/>
        </w:rPr>
        <w:t>.</w:t>
      </w:r>
    </w:p>
    <w:p w:rsidR="000C1F83" w:rsidRPr="009342ED" w:rsidRDefault="000C1F83" w:rsidP="000C1F83">
      <w:pPr>
        <w:spacing w:line="240" w:lineRule="auto"/>
        <w:rPr>
          <w:rFonts w:ascii="Times New Roman" w:hAnsi="Times New Roman" w:cs="Times New Roman"/>
          <w:sz w:val="24"/>
          <w:szCs w:val="24"/>
        </w:rPr>
      </w:pPr>
    </w:p>
    <w:p w:rsidR="000C1F83" w:rsidRPr="009342ED" w:rsidRDefault="000C1F83" w:rsidP="000C1F83">
      <w:pPr>
        <w:spacing w:line="240" w:lineRule="auto"/>
        <w:rPr>
          <w:rFonts w:ascii="Times New Roman" w:hAnsi="Times New Roman" w:cs="Times New Roman"/>
          <w:sz w:val="24"/>
          <w:szCs w:val="24"/>
        </w:rPr>
      </w:pPr>
      <w:r w:rsidRPr="009342ED">
        <w:rPr>
          <w:rFonts w:ascii="Times New Roman" w:hAnsi="Times New Roman" w:cs="Times New Roman"/>
          <w:sz w:val="24"/>
          <w:szCs w:val="24"/>
        </w:rPr>
        <w:t>Este fenómeno se ve a través del espectro socioeconómico entre países.</w:t>
      </w:r>
    </w:p>
    <w:p w:rsidR="000C1F83" w:rsidRPr="009342ED" w:rsidRDefault="000C1F83" w:rsidP="000C1F83">
      <w:pPr>
        <w:spacing w:line="240" w:lineRule="auto"/>
        <w:rPr>
          <w:rFonts w:ascii="Times New Roman" w:hAnsi="Times New Roman" w:cs="Times New Roman"/>
          <w:sz w:val="24"/>
          <w:szCs w:val="24"/>
        </w:rPr>
      </w:pPr>
    </w:p>
    <w:p w:rsidR="000C1F83" w:rsidRPr="009342ED" w:rsidRDefault="000C1F83" w:rsidP="000C1F83">
      <w:pPr>
        <w:spacing w:line="240" w:lineRule="auto"/>
        <w:ind w:left="630" w:right="900"/>
        <w:jc w:val="both"/>
        <w:rPr>
          <w:rFonts w:ascii="Times New Roman" w:hAnsi="Times New Roman" w:cs="Times New Roman"/>
          <w:sz w:val="24"/>
          <w:szCs w:val="24"/>
        </w:rPr>
      </w:pPr>
      <w:r w:rsidRPr="009342ED">
        <w:rPr>
          <w:rFonts w:ascii="Times New Roman" w:hAnsi="Times New Roman" w:cs="Times New Roman"/>
          <w:sz w:val="24"/>
          <w:szCs w:val="24"/>
        </w:rPr>
        <w:t>Hasta principio de los ‘90, dicha tasa era de sólo un tercio del promedio de los países desarrollados; en 1996, la tasa de inscripción a la universidad en Suiza era aún la mitad del promedio de los países de la OCDE (16% vs. 34%). Desde entonces, Suiza aumentó dicha tasa considerablemente, llevándola al 47% en el 2007, de acuerdo a datos de la UNESCO. Sin embargo, la tasa en Suiza sigue siendo la más baja en el mundo desarrollado y está muy por debajo de los valores que encontramos en los países de mayor concurrencia universitaria, como Finlandia (94%), EE.UU. (82%) y Dinamarca (80%) y es también, curiosamente, mucho más baja que la de muchas economías considerablemente más pobres como Corea (96%), Grecia (91%), Litua</w:t>
      </w:r>
      <w:r>
        <w:rPr>
          <w:rFonts w:ascii="Times New Roman" w:hAnsi="Times New Roman" w:cs="Times New Roman"/>
          <w:sz w:val="24"/>
          <w:szCs w:val="24"/>
        </w:rPr>
        <w:t xml:space="preserve">nia (76%) y Argentina (68%) (Chang, 2011: </w:t>
      </w:r>
      <w:r w:rsidRPr="009342ED">
        <w:rPr>
          <w:rFonts w:ascii="Times New Roman" w:hAnsi="Times New Roman" w:cs="Times New Roman"/>
          <w:sz w:val="24"/>
          <w:szCs w:val="24"/>
        </w:rPr>
        <w:t>53).</w:t>
      </w:r>
    </w:p>
    <w:p w:rsidR="000C1F83" w:rsidRPr="009342ED" w:rsidRDefault="000C1F83" w:rsidP="000C1F83">
      <w:pPr>
        <w:spacing w:line="240" w:lineRule="auto"/>
        <w:ind w:left="630" w:right="900"/>
        <w:jc w:val="both"/>
        <w:rPr>
          <w:rFonts w:ascii="Times New Roman" w:hAnsi="Times New Roman" w:cs="Times New Roman"/>
          <w:sz w:val="24"/>
          <w:szCs w:val="24"/>
        </w:rPr>
      </w:pPr>
    </w:p>
    <w:p w:rsidR="00BF442D" w:rsidRDefault="00BF442D">
      <w:bookmarkStart w:id="0" w:name="_GoBack"/>
      <w:bookmarkEnd w:id="0"/>
    </w:p>
    <w:sectPr w:rsidR="00BF442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982BD9"/>
    <w:multiLevelType w:val="hybridMultilevel"/>
    <w:tmpl w:val="BBDA2D4A"/>
    <w:lvl w:ilvl="0" w:tplc="FC0CE706">
      <w:start w:val="1"/>
      <w:numFmt w:val="decimal"/>
      <w:lvlText w:val="%1."/>
      <w:lvlJc w:val="left"/>
      <w:pPr>
        <w:ind w:left="720" w:hanging="360"/>
      </w:pPr>
      <w:rPr>
        <w:rFonts w:hint="default"/>
        <w:sz w:val="32"/>
        <w:szCs w:val="3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2D"/>
    <w:rsid w:val="000457E6"/>
    <w:rsid w:val="000C1F83"/>
    <w:rsid w:val="00624D69"/>
    <w:rsid w:val="00655A68"/>
    <w:rsid w:val="00691D32"/>
    <w:rsid w:val="006C6F94"/>
    <w:rsid w:val="00913055"/>
    <w:rsid w:val="009A34A0"/>
    <w:rsid w:val="00A318BA"/>
    <w:rsid w:val="00A606C2"/>
    <w:rsid w:val="00B33AD2"/>
    <w:rsid w:val="00BF442D"/>
    <w:rsid w:val="00C4179C"/>
    <w:rsid w:val="00CB4C74"/>
    <w:rsid w:val="00DB506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A3CC9B-54DD-47FD-B06A-E5B2979F7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1024</Words>
  <Characters>5632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 WARS</dc:creator>
  <cp:keywords/>
  <dc:description/>
  <cp:lastModifiedBy>STAR WARS</cp:lastModifiedBy>
  <cp:revision>3</cp:revision>
  <dcterms:created xsi:type="dcterms:W3CDTF">2017-12-30T03:27:00Z</dcterms:created>
  <dcterms:modified xsi:type="dcterms:W3CDTF">2018-01-02T16:46:00Z</dcterms:modified>
</cp:coreProperties>
</file>