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proofErr w:type="spellStart"/>
      <w:r w:rsidR="00C425DD">
        <w:t>Yantzasa</w:t>
      </w:r>
      <w:proofErr w:type="spellEnd"/>
      <w:r>
        <w:t>,</w:t>
      </w:r>
      <w:r w:rsidR="00C425DD">
        <w:t xml:space="preserve"> 28</w:t>
      </w:r>
      <w:r>
        <w:t xml:space="preserve"> de Marzo, 2017</w:t>
      </w:r>
    </w:p>
    <w:p w:rsidR="00C425DD" w:rsidRDefault="00C425DD"/>
    <w:p w:rsidR="00C425DD" w:rsidRDefault="00C425DD" w:rsidP="00C425DD">
      <w:pPr>
        <w:spacing w:line="240" w:lineRule="auto"/>
        <w:jc w:val="both"/>
        <w:rPr>
          <w:rFonts w:ascii="Times New Roman" w:hAnsi="Times New Roman" w:cs="Times New Roman"/>
          <w:sz w:val="24"/>
          <w:szCs w:val="24"/>
        </w:rPr>
      </w:pPr>
      <w:r>
        <w:rPr>
          <w:rFonts w:ascii="Times New Roman" w:hAnsi="Times New Roman" w:cs="Times New Roman"/>
          <w:sz w:val="24"/>
          <w:szCs w:val="24"/>
        </w:rPr>
        <w:t>La composición del nivel de formación de los integrantes de las plantas docentes se ha mejorado sustancialmente para garantizar la calidad de la educación. Los d</w:t>
      </w:r>
      <w:r w:rsidRPr="009342ED">
        <w:rPr>
          <w:rFonts w:ascii="Times New Roman" w:hAnsi="Times New Roman" w:cs="Times New Roman"/>
          <w:sz w:val="24"/>
          <w:szCs w:val="24"/>
        </w:rPr>
        <w:t>ocentes con PhD o Maestría en Universidades y Escuelas politécnicas y particulares cofinanciadas</w:t>
      </w:r>
      <w:r>
        <w:rPr>
          <w:rFonts w:ascii="Times New Roman" w:hAnsi="Times New Roman" w:cs="Times New Roman"/>
          <w:sz w:val="24"/>
          <w:szCs w:val="24"/>
        </w:rPr>
        <w:t xml:space="preserve"> se incrementó de 29% en 2008 a 58% en 2014, duplicando así la frecuencia de profesores con los niveles más altos de formación.</w:t>
      </w:r>
    </w:p>
    <w:p w:rsidR="00C425DD" w:rsidRPr="009342E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289550" cy="22510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9550" cy="2251075"/>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78</w:t>
      </w:r>
      <w:r w:rsidRPr="009342ED">
        <w:rPr>
          <w:rFonts w:ascii="Times New Roman" w:hAnsi="Times New Roman" w:cs="Times New Roman"/>
          <w:sz w:val="24"/>
          <w:szCs w:val="24"/>
        </w:rPr>
        <w:t xml:space="preserve">. Porcentaje de Docentes con PhD o Maestría en Universidades y Escuelas politécnicas y particulares cofinanciadas. Fuente: 1) 2008 Informe CONEA, 2) 2009 y 2010 SNIESE, 3) 2012, 2013 ajustado, 2014 GIIES </w:t>
      </w:r>
      <w:proofErr w:type="spellStart"/>
      <w:r w:rsidRPr="009342ED">
        <w:rPr>
          <w:rFonts w:ascii="Times New Roman" w:hAnsi="Times New Roman" w:cs="Times New Roman"/>
          <w:sz w:val="24"/>
          <w:szCs w:val="24"/>
        </w:rPr>
        <w:t>autorreporte</w:t>
      </w:r>
      <w:proofErr w:type="spellEnd"/>
      <w:r w:rsidRPr="009342ED">
        <w:rPr>
          <w:rFonts w:ascii="Times New Roman" w:hAnsi="Times New Roman" w:cs="Times New Roman"/>
          <w:sz w:val="24"/>
          <w:szCs w:val="24"/>
        </w:rPr>
        <w:t xml:space="preserve"> Universidades y Escuelas Politécnicas.</w:t>
      </w:r>
      <w:r>
        <w:rPr>
          <w:rFonts w:ascii="Times New Roman" w:hAnsi="Times New Roman" w:cs="Times New Roman"/>
          <w:sz w:val="24"/>
          <w:szCs w:val="24"/>
        </w:rPr>
        <w:t xml:space="preserve"> Elaboración: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Pr="009342E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260975" cy="23456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975" cy="2345690"/>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lastRenderedPageBreak/>
        <w:t>Gráfico</w:t>
      </w:r>
      <w:r>
        <w:rPr>
          <w:rFonts w:ascii="Times New Roman" w:hAnsi="Times New Roman" w:cs="Times New Roman"/>
          <w:sz w:val="24"/>
          <w:szCs w:val="24"/>
        </w:rPr>
        <w:t xml:space="preserve"> 79</w:t>
      </w:r>
      <w:r w:rsidRPr="009342ED">
        <w:rPr>
          <w:rFonts w:ascii="Times New Roman" w:hAnsi="Times New Roman" w:cs="Times New Roman"/>
          <w:sz w:val="24"/>
          <w:szCs w:val="24"/>
        </w:rPr>
        <w:t xml:space="preserve">. Porcentaje </w:t>
      </w:r>
      <w:r>
        <w:rPr>
          <w:rFonts w:ascii="Times New Roman" w:hAnsi="Times New Roman" w:cs="Times New Roman"/>
          <w:sz w:val="24"/>
          <w:szCs w:val="24"/>
        </w:rPr>
        <w:t xml:space="preserve">de profesores a Tiempo Completo. Elaboración: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Desde el año 2008, el porcentaje de profesores a Tiempo Completo se ha increment</w:t>
      </w:r>
      <w:r>
        <w:rPr>
          <w:rFonts w:ascii="Times New Roman" w:hAnsi="Times New Roman" w:cs="Times New Roman"/>
          <w:sz w:val="24"/>
          <w:szCs w:val="24"/>
        </w:rPr>
        <w:t>ado en 24 puntos porcentuales y c</w:t>
      </w:r>
      <w:r w:rsidRPr="009342ED">
        <w:rPr>
          <w:rFonts w:ascii="Times New Roman" w:hAnsi="Times New Roman" w:cs="Times New Roman"/>
          <w:sz w:val="24"/>
          <w:szCs w:val="24"/>
        </w:rPr>
        <w:t>on la LOES se estandariza la Jornada a Tiempo Completo</w:t>
      </w:r>
      <w:r>
        <w:rPr>
          <w:rFonts w:ascii="Times New Roman" w:hAnsi="Times New Roman" w:cs="Times New Roman"/>
          <w:sz w:val="24"/>
          <w:szCs w:val="24"/>
        </w:rPr>
        <w:t>.</w:t>
      </w:r>
    </w:p>
    <w:p w:rsidR="00C425D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Pr="009342ED">
        <w:rPr>
          <w:rFonts w:ascii="Times New Roman" w:hAnsi="Times New Roman" w:cs="Times New Roman"/>
          <w:sz w:val="24"/>
          <w:szCs w:val="24"/>
        </w:rPr>
        <w:t xml:space="preserve">publicaciones indexadas en </w:t>
      </w:r>
      <w:proofErr w:type="spellStart"/>
      <w:r w:rsidRPr="009342ED">
        <w:rPr>
          <w:rFonts w:ascii="Times New Roman" w:hAnsi="Times New Roman" w:cs="Times New Roman"/>
          <w:sz w:val="24"/>
          <w:szCs w:val="24"/>
        </w:rPr>
        <w:t>Scopus</w:t>
      </w:r>
      <w:proofErr w:type="spellEnd"/>
      <w:r>
        <w:rPr>
          <w:rFonts w:ascii="Times New Roman" w:hAnsi="Times New Roman" w:cs="Times New Roman"/>
          <w:sz w:val="24"/>
          <w:szCs w:val="24"/>
        </w:rPr>
        <w:t xml:space="preserve"> se han multiplicado por cuatro, incrementado de 313 en 2006 a 1237 en 2015.</w:t>
      </w:r>
    </w:p>
    <w:p w:rsidR="00C425DD" w:rsidRPr="009342E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326380" cy="22923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2292350"/>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80</w:t>
      </w:r>
      <w:r w:rsidRPr="009342ED">
        <w:rPr>
          <w:rFonts w:ascii="Times New Roman" w:hAnsi="Times New Roman" w:cs="Times New Roman"/>
          <w:sz w:val="24"/>
          <w:szCs w:val="24"/>
        </w:rPr>
        <w:t xml:space="preserve">. Total de publicaciones indexadas en </w:t>
      </w:r>
      <w:proofErr w:type="spellStart"/>
      <w:r w:rsidRPr="009342ED">
        <w:rPr>
          <w:rFonts w:ascii="Times New Roman" w:hAnsi="Times New Roman" w:cs="Times New Roman"/>
          <w:sz w:val="24"/>
          <w:szCs w:val="24"/>
        </w:rPr>
        <w:t>Scopus</w:t>
      </w:r>
      <w:proofErr w:type="spellEnd"/>
      <w:r w:rsidRPr="009342ED">
        <w:rPr>
          <w:rFonts w:ascii="Times New Roman" w:hAnsi="Times New Roman" w:cs="Times New Roman"/>
          <w:sz w:val="24"/>
          <w:szCs w:val="24"/>
        </w:rPr>
        <w:t xml:space="preserve">. Fuente: </w:t>
      </w:r>
      <w:proofErr w:type="spellStart"/>
      <w:r w:rsidRPr="009342ED">
        <w:rPr>
          <w:rFonts w:ascii="Times New Roman" w:hAnsi="Times New Roman" w:cs="Times New Roman"/>
          <w:sz w:val="24"/>
          <w:szCs w:val="24"/>
        </w:rPr>
        <w:t>Scopus</w:t>
      </w:r>
      <w:proofErr w:type="spellEnd"/>
      <w:r w:rsidRPr="009342ED">
        <w:rPr>
          <w:rFonts w:ascii="Times New Roman" w:hAnsi="Times New Roman" w:cs="Times New Roman"/>
          <w:sz w:val="24"/>
          <w:szCs w:val="24"/>
        </w:rPr>
        <w:t xml:space="preserve">; </w:t>
      </w:r>
      <w:hyperlink r:id="rId9" w:history="1">
        <w:r w:rsidRPr="00AD12AC">
          <w:rPr>
            <w:rStyle w:val="Hipervnculo"/>
            <w:rFonts w:ascii="Times New Roman" w:hAnsi="Times New Roman" w:cs="Times New Roman"/>
            <w:sz w:val="24"/>
            <w:szCs w:val="24"/>
          </w:rPr>
          <w:t>http://www.scopus.com</w:t>
        </w:r>
      </w:hyperlink>
      <w:r>
        <w:rPr>
          <w:rFonts w:ascii="Times New Roman" w:hAnsi="Times New Roman" w:cs="Times New Roman"/>
          <w:sz w:val="24"/>
          <w:szCs w:val="24"/>
        </w:rPr>
        <w:t xml:space="preserve">. Elaboración: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Pr="009342E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244465" cy="27920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465" cy="2792095"/>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lastRenderedPageBreak/>
        <w:t>Gráfico</w:t>
      </w:r>
      <w:r>
        <w:rPr>
          <w:rFonts w:ascii="Times New Roman" w:hAnsi="Times New Roman" w:cs="Times New Roman"/>
          <w:sz w:val="24"/>
          <w:szCs w:val="24"/>
        </w:rPr>
        <w:t xml:space="preserve"> 81</w:t>
      </w:r>
      <w:r w:rsidRPr="009342ED">
        <w:rPr>
          <w:rFonts w:ascii="Times New Roman" w:hAnsi="Times New Roman" w:cs="Times New Roman"/>
          <w:sz w:val="24"/>
          <w:szCs w:val="24"/>
        </w:rPr>
        <w:t xml:space="preserve">. Crecimiento de publicaciones en relación de la región. Fuente: </w:t>
      </w:r>
      <w:proofErr w:type="spellStart"/>
      <w:r w:rsidRPr="009342ED">
        <w:rPr>
          <w:rFonts w:ascii="Times New Roman" w:hAnsi="Times New Roman" w:cs="Times New Roman"/>
          <w:sz w:val="24"/>
          <w:szCs w:val="24"/>
        </w:rPr>
        <w:t>Scopus</w:t>
      </w:r>
      <w:proofErr w:type="spellEnd"/>
      <w:r w:rsidRPr="009342ED">
        <w:rPr>
          <w:rFonts w:ascii="Times New Roman" w:hAnsi="Times New Roman" w:cs="Times New Roman"/>
          <w:sz w:val="24"/>
          <w:szCs w:val="24"/>
        </w:rPr>
        <w:t xml:space="preserve">; </w:t>
      </w:r>
      <w:hyperlink r:id="rId11" w:history="1">
        <w:r w:rsidRPr="00AD12AC">
          <w:rPr>
            <w:rStyle w:val="Hipervnculo"/>
            <w:rFonts w:ascii="Times New Roman" w:hAnsi="Times New Roman" w:cs="Times New Roman"/>
            <w:sz w:val="24"/>
            <w:szCs w:val="24"/>
          </w:rPr>
          <w:t>http://www.scopus.com</w:t>
        </w:r>
      </w:hyperlink>
      <w:r>
        <w:rPr>
          <w:rFonts w:ascii="Times New Roman" w:hAnsi="Times New Roman" w:cs="Times New Roman"/>
          <w:sz w:val="24"/>
          <w:szCs w:val="24"/>
        </w:rPr>
        <w:t xml:space="preserve">. Elaboración: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Default="00C425DD" w:rsidP="00C425DD">
      <w:pPr>
        <w:spacing w:line="240" w:lineRule="auto"/>
        <w:ind w:left="720" w:hanging="360"/>
        <w:jc w:val="both"/>
        <w:rPr>
          <w:rFonts w:ascii="Times New Roman" w:hAnsi="Times New Roman" w:cs="Times New Roman"/>
          <w:sz w:val="24"/>
          <w:szCs w:val="24"/>
        </w:rPr>
      </w:pPr>
    </w:p>
    <w:p w:rsidR="00C425D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Las siguientes universidades son las que más han publicado en </w:t>
      </w:r>
      <w:proofErr w:type="spellStart"/>
      <w:r>
        <w:rPr>
          <w:rFonts w:ascii="Times New Roman" w:hAnsi="Times New Roman" w:cs="Times New Roman"/>
          <w:sz w:val="24"/>
          <w:szCs w:val="24"/>
        </w:rPr>
        <w:t>Scopus</w:t>
      </w:r>
      <w:proofErr w:type="spellEnd"/>
      <w:r>
        <w:rPr>
          <w:rFonts w:ascii="Times New Roman" w:hAnsi="Times New Roman" w:cs="Times New Roman"/>
          <w:sz w:val="24"/>
          <w:szCs w:val="24"/>
        </w:rPr>
        <w:t>.</w:t>
      </w:r>
    </w:p>
    <w:p w:rsidR="00C425DD" w:rsidRPr="009342ED" w:rsidRDefault="00C425DD" w:rsidP="00C425DD">
      <w:pPr>
        <w:spacing w:line="240" w:lineRule="auto"/>
        <w:ind w:left="720" w:hanging="360"/>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264785" cy="30549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3054985"/>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82</w:t>
      </w:r>
      <w:r w:rsidRPr="009342ED">
        <w:rPr>
          <w:rFonts w:ascii="Times New Roman" w:hAnsi="Times New Roman" w:cs="Times New Roman"/>
          <w:sz w:val="24"/>
          <w:szCs w:val="24"/>
        </w:rPr>
        <w:t>. Top 7 de universidades que han publicado en revistas indexadas en SCOPUS, años 2012</w:t>
      </w:r>
      <w:r>
        <w:rPr>
          <w:rFonts w:ascii="Times New Roman" w:hAnsi="Times New Roman" w:cs="Times New Roman"/>
          <w:sz w:val="24"/>
          <w:szCs w:val="24"/>
        </w:rPr>
        <w:t>-</w:t>
      </w:r>
      <w:r w:rsidRPr="009342ED">
        <w:rPr>
          <w:rFonts w:ascii="Times New Roman" w:hAnsi="Times New Roman" w:cs="Times New Roman"/>
          <w:sz w:val="24"/>
          <w:szCs w:val="24"/>
        </w:rPr>
        <w:t xml:space="preserve">2015. Fuente: </w:t>
      </w:r>
      <w:proofErr w:type="spellStart"/>
      <w:r w:rsidRPr="009342ED">
        <w:rPr>
          <w:rFonts w:ascii="Times New Roman" w:hAnsi="Times New Roman" w:cs="Times New Roman"/>
          <w:sz w:val="24"/>
          <w:szCs w:val="24"/>
        </w:rPr>
        <w:t>Scopus</w:t>
      </w:r>
      <w:proofErr w:type="spellEnd"/>
      <w:r w:rsidRPr="009342ED">
        <w:rPr>
          <w:rFonts w:ascii="Times New Roman" w:hAnsi="Times New Roman" w:cs="Times New Roman"/>
          <w:sz w:val="24"/>
          <w:szCs w:val="24"/>
        </w:rPr>
        <w:t xml:space="preserve">; </w:t>
      </w:r>
      <w:hyperlink r:id="rId13" w:history="1">
        <w:r w:rsidRPr="00AD12AC">
          <w:rPr>
            <w:rStyle w:val="Hipervnculo"/>
            <w:rFonts w:ascii="Times New Roman" w:hAnsi="Times New Roman" w:cs="Times New Roman"/>
            <w:sz w:val="24"/>
            <w:szCs w:val="24"/>
          </w:rPr>
          <w:t>http://www.scopus.com</w:t>
        </w:r>
      </w:hyperlink>
      <w:r>
        <w:rPr>
          <w:rFonts w:ascii="Times New Roman" w:hAnsi="Times New Roman" w:cs="Times New Roman"/>
          <w:sz w:val="24"/>
          <w:szCs w:val="24"/>
        </w:rPr>
        <w:t xml:space="preserve">. Elaborado: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Default="00C425DD" w:rsidP="00C425DD">
      <w:pPr>
        <w:spacing w:line="240" w:lineRule="auto"/>
        <w:jc w:val="both"/>
        <w:rPr>
          <w:rFonts w:ascii="Times New Roman" w:hAnsi="Times New Roman" w:cs="Times New Roman"/>
          <w:b/>
          <w:sz w:val="24"/>
          <w:szCs w:val="24"/>
        </w:rPr>
      </w:pPr>
    </w:p>
    <w:p w:rsidR="00C425DD" w:rsidRPr="00AC1AAE" w:rsidRDefault="00C425DD" w:rsidP="00C425DD">
      <w:pPr>
        <w:spacing w:line="240" w:lineRule="auto"/>
        <w:ind w:left="720" w:hanging="360"/>
        <w:jc w:val="both"/>
        <w:rPr>
          <w:rFonts w:ascii="Times New Roman" w:hAnsi="Times New Roman" w:cs="Times New Roman"/>
          <w:sz w:val="24"/>
          <w:szCs w:val="24"/>
        </w:rPr>
      </w:pPr>
    </w:p>
    <w:p w:rsidR="00C425DD" w:rsidRDefault="00C425DD" w:rsidP="00C425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 bien el incremento en publicaciones indexadas es un indicador de incremento en capacidades que constituyen factores de garantía de calidad, una de las formas en que se ha fomentado ello es por el programa Prometeo, dentro del cual investigadores internacionales se integran en las universidades del país para realizar investigación y publicar. Es importante en la evaluación de estas políticas verificar el nivel de transferencia de conocimiento para capacidades instaladas internas pertinentes, al mismo tiempo que observar que publicaciones en </w:t>
      </w:r>
      <w:proofErr w:type="spellStart"/>
      <w:r>
        <w:rPr>
          <w:rFonts w:ascii="Times New Roman" w:hAnsi="Times New Roman" w:cs="Times New Roman"/>
          <w:sz w:val="24"/>
          <w:szCs w:val="24"/>
        </w:rPr>
        <w:t>Scopus</w:t>
      </w:r>
      <w:proofErr w:type="spellEnd"/>
      <w:r>
        <w:rPr>
          <w:rFonts w:ascii="Times New Roman" w:hAnsi="Times New Roman" w:cs="Times New Roman"/>
          <w:sz w:val="24"/>
          <w:szCs w:val="24"/>
        </w:rPr>
        <w:t xml:space="preserve"> frecuentemente no son de libre acceso, con lo cual se estaría financiando la creación de conocimiento cerrado para mayoría de la población ecuatoriana. En las políticas venideras, estas cuestiones deben ser tomadas en cuenta.</w:t>
      </w:r>
    </w:p>
    <w:p w:rsidR="00C425DD" w:rsidRDefault="00C425DD" w:rsidP="00C425DD">
      <w:pPr>
        <w:spacing w:line="240" w:lineRule="auto"/>
        <w:ind w:left="720" w:hanging="360"/>
        <w:jc w:val="both"/>
        <w:rPr>
          <w:rFonts w:ascii="Times New Roman" w:hAnsi="Times New Roman" w:cs="Times New Roman"/>
          <w:sz w:val="24"/>
          <w:szCs w:val="24"/>
        </w:rPr>
      </w:pPr>
    </w:p>
    <w:p w:rsidR="00C425DD" w:rsidRDefault="00C425DD" w:rsidP="00C425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el p</w:t>
      </w:r>
      <w:r w:rsidRPr="009342ED">
        <w:rPr>
          <w:rFonts w:ascii="Times New Roman" w:hAnsi="Times New Roman" w:cs="Times New Roman"/>
          <w:sz w:val="24"/>
          <w:szCs w:val="24"/>
        </w:rPr>
        <w:t xml:space="preserve">orcentaje de oferta académica </w:t>
      </w:r>
      <w:r>
        <w:rPr>
          <w:rFonts w:ascii="Times New Roman" w:hAnsi="Times New Roman" w:cs="Times New Roman"/>
          <w:sz w:val="24"/>
          <w:szCs w:val="24"/>
        </w:rPr>
        <w:t>pertinente pasó de 44.44% en 2012 al 55.56% en 2015.</w:t>
      </w: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lastRenderedPageBreak/>
        <w:drawing>
          <wp:inline distT="0" distB="0" distL="0" distR="0">
            <wp:extent cx="4695190" cy="2476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190" cy="2476500"/>
                    </a:xfrm>
                    <a:prstGeom prst="rect">
                      <a:avLst/>
                    </a:prstGeom>
                    <a:noFill/>
                    <a:ln>
                      <a:noFill/>
                    </a:ln>
                  </pic:spPr>
                </pic:pic>
              </a:graphicData>
            </a:graphic>
          </wp:inline>
        </w:drawing>
      </w:r>
    </w:p>
    <w:p w:rsidR="00C425DD" w:rsidRDefault="00C425DD" w:rsidP="00C425DD">
      <w:pPr>
        <w:spacing w:line="240" w:lineRule="auto"/>
        <w:jc w:val="both"/>
        <w:rPr>
          <w:rFonts w:ascii="Times New Roman" w:hAnsi="Times New Roman" w:cs="Times New Roman"/>
          <w:sz w:val="24"/>
          <w:szCs w:val="24"/>
        </w:rPr>
      </w:pPr>
    </w:p>
    <w:p w:rsidR="00C425DD" w:rsidRPr="009342ED" w:rsidRDefault="00C425DD" w:rsidP="00C425D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83</w:t>
      </w:r>
      <w:r w:rsidRPr="009342ED">
        <w:rPr>
          <w:rFonts w:ascii="Times New Roman" w:hAnsi="Times New Roman" w:cs="Times New Roman"/>
          <w:sz w:val="24"/>
          <w:szCs w:val="24"/>
        </w:rPr>
        <w:t>. Porcentaje de oferta académica según la pertinencia. Fuente: Sistema Nacional de Nivelación y Admisión; SNIESE 2012 y CEAACES-CES aturo reporte IES.</w:t>
      </w:r>
      <w:r w:rsidRPr="005C316D">
        <w:rPr>
          <w:rFonts w:ascii="Times New Roman" w:hAnsi="Times New Roman" w:cs="Times New Roman"/>
          <w:sz w:val="24"/>
          <w:szCs w:val="24"/>
        </w:rPr>
        <w:t xml:space="preserve"> </w:t>
      </w:r>
      <w:r>
        <w:rPr>
          <w:rFonts w:ascii="Times New Roman" w:hAnsi="Times New Roman" w:cs="Times New Roman"/>
          <w:sz w:val="24"/>
          <w:szCs w:val="24"/>
        </w:rPr>
        <w:t xml:space="preserve">Elaboración: </w:t>
      </w:r>
      <w:proofErr w:type="spellStart"/>
      <w:r>
        <w:rPr>
          <w:rFonts w:ascii="Times New Roman" w:hAnsi="Times New Roman" w:cs="Times New Roman"/>
          <w:sz w:val="24"/>
          <w:szCs w:val="24"/>
        </w:rPr>
        <w:t>Senescyt</w:t>
      </w:r>
      <w:proofErr w:type="spellEnd"/>
      <w:r>
        <w:rPr>
          <w:rFonts w:ascii="Times New Roman" w:hAnsi="Times New Roman" w:cs="Times New Roman"/>
          <w:sz w:val="24"/>
          <w:szCs w:val="24"/>
        </w:rPr>
        <w:t xml:space="preserve"> (2015).</w:t>
      </w:r>
    </w:p>
    <w:p w:rsidR="00C425DD" w:rsidRDefault="00C425DD" w:rsidP="00C425DD">
      <w:pPr>
        <w:spacing w:line="240" w:lineRule="auto"/>
        <w:jc w:val="both"/>
        <w:rPr>
          <w:rFonts w:ascii="Times New Roman" w:hAnsi="Times New Roman" w:cs="Times New Roman"/>
          <w:sz w:val="24"/>
          <w:szCs w:val="24"/>
        </w:rPr>
      </w:pPr>
    </w:p>
    <w:p w:rsidR="00C425DD" w:rsidRDefault="00C425DD" w:rsidP="00C425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indicadores centrales confirman que ha habido un gran incremento en la garantía del derecho a la educación en el Sistema de Educación Superior en los años de la Revolución Ciudadana. </w:t>
      </w:r>
    </w:p>
    <w:p w:rsidR="00C425DD" w:rsidRDefault="00C425DD" w:rsidP="00C425DD">
      <w:pPr>
        <w:spacing w:line="240" w:lineRule="auto"/>
        <w:jc w:val="both"/>
        <w:rPr>
          <w:rFonts w:ascii="Times New Roman" w:hAnsi="Times New Roman" w:cs="Times New Roman"/>
          <w:sz w:val="24"/>
          <w:szCs w:val="24"/>
        </w:rPr>
      </w:pPr>
    </w:p>
    <w:p w:rsidR="00C425DD" w:rsidRPr="00C425DD" w:rsidRDefault="00C425DD" w:rsidP="00C425DD">
      <w:r>
        <w:rPr>
          <w:rFonts w:ascii="Times New Roman" w:hAnsi="Times New Roman" w:cs="Times New Roman"/>
          <w:b/>
          <w:sz w:val="32"/>
          <w:szCs w:val="32"/>
        </w:rPr>
        <w:br w:type="page"/>
      </w:r>
      <w:bookmarkStart w:id="0" w:name="_GoBack"/>
      <w:bookmarkEnd w:id="0"/>
    </w:p>
    <w:p w:rsidR="00C425DD" w:rsidRPr="00C425DD" w:rsidRDefault="00C425DD" w:rsidP="00C425DD"/>
    <w:p w:rsidR="00C425DD" w:rsidRPr="00C425DD" w:rsidRDefault="00C425DD" w:rsidP="00C425DD"/>
    <w:p w:rsidR="00C425DD" w:rsidRPr="00C425DD" w:rsidRDefault="00C425DD" w:rsidP="00C425DD"/>
    <w:p w:rsidR="00C425DD" w:rsidRDefault="00C425DD" w:rsidP="00C425DD"/>
    <w:p w:rsidR="00BF442D" w:rsidRPr="00C425DD" w:rsidRDefault="00BF442D" w:rsidP="00C425DD">
      <w:pPr>
        <w:jc w:val="center"/>
      </w:pPr>
    </w:p>
    <w:sectPr w:rsidR="00BF442D" w:rsidRPr="00C425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655A68"/>
    <w:rsid w:val="00691D32"/>
    <w:rsid w:val="006C6F94"/>
    <w:rsid w:val="00913055"/>
    <w:rsid w:val="009A34A0"/>
    <w:rsid w:val="00A318BA"/>
    <w:rsid w:val="00A606C2"/>
    <w:rsid w:val="00B33AD2"/>
    <w:rsid w:val="00BF442D"/>
    <w:rsid w:val="00C4179C"/>
    <w:rsid w:val="00C425DD"/>
    <w:rsid w:val="00CB4C74"/>
    <w:rsid w:val="00DB50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425D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scopus.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copus.com" TargetMode="External"/><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hyperlink" Target="http://www.scopus.com"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482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2017-12-30T03:27:00Z</dcterms:created>
  <dcterms:modified xsi:type="dcterms:W3CDTF">2018-01-02T16:44:00Z</dcterms:modified>
</cp:coreProperties>
</file>