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proofErr w:type="spellStart"/>
      <w:r w:rsidR="00B96ED3">
        <w:t>Gualaceo</w:t>
      </w:r>
      <w:proofErr w:type="spellEnd"/>
      <w:r>
        <w:t xml:space="preserve">, </w:t>
      </w:r>
      <w:r w:rsidR="00B96ED3">
        <w:t>27</w:t>
      </w:r>
      <w:r>
        <w:t xml:space="preserve"> de Marzo, 2017</w:t>
      </w:r>
    </w:p>
    <w:p w:rsidR="001D2231" w:rsidRPr="0030277C" w:rsidRDefault="001D2231" w:rsidP="001D2231">
      <w:pPr>
        <w:numPr>
          <w:ilvl w:val="0"/>
          <w:numId w:val="1"/>
        </w:numPr>
        <w:spacing w:after="0" w:line="240" w:lineRule="auto"/>
        <w:jc w:val="both"/>
        <w:rPr>
          <w:rFonts w:ascii="Times New Roman" w:hAnsi="Times New Roman" w:cs="Times New Roman"/>
          <w:b/>
          <w:sz w:val="32"/>
          <w:szCs w:val="32"/>
        </w:rPr>
      </w:pPr>
      <w:r w:rsidRPr="00561E1A">
        <w:rPr>
          <w:rFonts w:ascii="Times New Roman" w:hAnsi="Times New Roman" w:cs="Times New Roman"/>
          <w:b/>
          <w:sz w:val="32"/>
          <w:szCs w:val="32"/>
        </w:rPr>
        <w:t>El derecho a la educación en el Sistema de Educación Superior</w:t>
      </w:r>
    </w:p>
    <w:p w:rsidR="001D2231" w:rsidRDefault="001D2231" w:rsidP="001D2231">
      <w:pPr>
        <w:tabs>
          <w:tab w:val="left" w:pos="4111"/>
        </w:tabs>
        <w:spacing w:line="240" w:lineRule="auto"/>
        <w:rPr>
          <w:rFonts w:ascii="Times New Roman" w:hAnsi="Times New Roman" w:cs="Times New Roman"/>
          <w:b/>
          <w:sz w:val="32"/>
          <w:szCs w:val="32"/>
        </w:rPr>
      </w:pPr>
    </w:p>
    <w:p w:rsidR="001D2231" w:rsidRPr="009342ED" w:rsidRDefault="001D2231" w:rsidP="001D2231">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De acuerdo a la Constitución y la Ley Orgánica de Educación Superior, el Estado tiene la obligación de garantizar el derecho a la educación superior con excelencia y sin discriminación alguna, promoviendo la igualdad de oportunidades, en función de los “méritos respectivos, a fin de acceder a una formación académica y profesional con producción de conocimiento pertinente y de excelencia. Las ciudadanas y los ciudadanos en forma individual y colectiva, las comunidades, pueblos y nacionalidades tienen el derecho y la responsabilidad de participar en el proceso educativo superior” (LOES, Art. 2-4). </w:t>
      </w:r>
      <w:r>
        <w:rPr>
          <w:rFonts w:ascii="Times New Roman" w:hAnsi="Times New Roman" w:cs="Times New Roman"/>
          <w:sz w:val="24"/>
          <w:szCs w:val="24"/>
        </w:rPr>
        <w:t>Comparando el 2015 con el 2006, reconociendo la importancia del derecho a la educación superior, el Estado ha multiplicado por 2.8 las asignaciones presupuestarias para las universidades y escuelas politécnicas, en términos proporcionales al PIB, y ha multiplicado las asignaciones por 6.4 en términos absolutos.</w:t>
      </w:r>
    </w:p>
    <w:p w:rsidR="001D2231" w:rsidRDefault="001D2231" w:rsidP="001D2231">
      <w:pPr>
        <w:tabs>
          <w:tab w:val="left" w:pos="4111"/>
        </w:tabs>
        <w:spacing w:line="240" w:lineRule="auto"/>
        <w:rPr>
          <w:rFonts w:ascii="Times New Roman" w:hAnsi="Times New Roman" w:cs="Times New Roman"/>
          <w:b/>
          <w:sz w:val="32"/>
          <w:szCs w:val="32"/>
        </w:rPr>
      </w:pPr>
    </w:p>
    <w:p w:rsidR="001D2231" w:rsidRPr="004B642B" w:rsidRDefault="001D2231" w:rsidP="001D2231">
      <w:pPr>
        <w:tabs>
          <w:tab w:val="left" w:pos="4111"/>
        </w:tabs>
        <w:spacing w:line="240" w:lineRule="auto"/>
        <w:rPr>
          <w:rFonts w:ascii="Times New Roman" w:hAnsi="Times New Roman" w:cs="Times New Roman"/>
          <w:b/>
          <w:sz w:val="32"/>
          <w:szCs w:val="32"/>
        </w:rPr>
      </w:pPr>
    </w:p>
    <w:p w:rsidR="001D2231" w:rsidRPr="009342ED" w:rsidRDefault="001D2231" w:rsidP="001D2231">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588510" cy="2472690"/>
            <wp:effectExtent l="0" t="0" r="254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8510" cy="2472690"/>
                    </a:xfrm>
                    <a:prstGeom prst="rect">
                      <a:avLst/>
                    </a:prstGeom>
                    <a:noFill/>
                    <a:ln>
                      <a:noFill/>
                    </a:ln>
                  </pic:spPr>
                </pic:pic>
              </a:graphicData>
            </a:graphic>
          </wp:inline>
        </w:drawing>
      </w:r>
    </w:p>
    <w:p w:rsidR="001D2231" w:rsidRDefault="001D2231" w:rsidP="001D2231">
      <w:pPr>
        <w:tabs>
          <w:tab w:val="left" w:pos="4111"/>
        </w:tabs>
        <w:spacing w:line="240" w:lineRule="auto"/>
        <w:jc w:val="center"/>
        <w:rPr>
          <w:rFonts w:ascii="Times New Roman" w:hAnsi="Times New Roman" w:cs="Times New Roman"/>
          <w:sz w:val="24"/>
          <w:szCs w:val="24"/>
        </w:rPr>
      </w:pPr>
    </w:p>
    <w:p w:rsidR="001D2231" w:rsidRPr="009342ED" w:rsidRDefault="001D2231" w:rsidP="001D2231">
      <w:pPr>
        <w:tabs>
          <w:tab w:val="left" w:pos="4111"/>
        </w:tabs>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66</w:t>
      </w:r>
      <w:r w:rsidRPr="009342ED">
        <w:rPr>
          <w:rFonts w:ascii="Times New Roman" w:hAnsi="Times New Roman" w:cs="Times New Roman"/>
          <w:sz w:val="24"/>
          <w:szCs w:val="24"/>
        </w:rPr>
        <w:t>. Asignaciones pagadas a las universidades y escuelas politécnicas que reciben rentas y asignaciones del Estado y saldos en bancos. PIB Banco Central del Ecuador.</w:t>
      </w:r>
      <w:r>
        <w:rPr>
          <w:rFonts w:ascii="Times New Roman" w:hAnsi="Times New Roman" w:cs="Times New Roman"/>
          <w:sz w:val="24"/>
          <w:szCs w:val="24"/>
        </w:rPr>
        <w:t xml:space="preserve"> </w:t>
      </w:r>
      <w:r w:rsidRPr="009342ED">
        <w:rPr>
          <w:rFonts w:ascii="Times New Roman" w:hAnsi="Times New Roman" w:cs="Times New Roman"/>
          <w:sz w:val="24"/>
          <w:szCs w:val="24"/>
        </w:rPr>
        <w:t>Fuente: Gasto Público en E</w:t>
      </w:r>
      <w:r>
        <w:rPr>
          <w:rFonts w:ascii="Times New Roman" w:hAnsi="Times New Roman" w:cs="Times New Roman"/>
          <w:sz w:val="24"/>
          <w:szCs w:val="24"/>
        </w:rPr>
        <w:t xml:space="preserve">ducación </w:t>
      </w:r>
      <w:r w:rsidRPr="009342ED">
        <w:rPr>
          <w:rFonts w:ascii="Times New Roman" w:hAnsi="Times New Roman" w:cs="Times New Roman"/>
          <w:sz w:val="24"/>
          <w:szCs w:val="24"/>
        </w:rPr>
        <w:t>S</w:t>
      </w:r>
      <w:r>
        <w:rPr>
          <w:rFonts w:ascii="Times New Roman" w:hAnsi="Times New Roman" w:cs="Times New Roman"/>
          <w:sz w:val="24"/>
          <w:szCs w:val="24"/>
        </w:rPr>
        <w:t>uperior</w:t>
      </w:r>
      <w:r w:rsidRPr="009342ED">
        <w:rPr>
          <w:rFonts w:ascii="Times New Roman" w:hAnsi="Times New Roman" w:cs="Times New Roman"/>
          <w:sz w:val="24"/>
          <w:szCs w:val="24"/>
        </w:rPr>
        <w:t xml:space="preserve"> del CONESUP 2001-2008 y del Ministerio de Finanzas Asignación Inicial PGE. Elaborado: S</w:t>
      </w:r>
      <w:r>
        <w:rPr>
          <w:rFonts w:ascii="Times New Roman" w:hAnsi="Times New Roman" w:cs="Times New Roman"/>
          <w:sz w:val="24"/>
          <w:szCs w:val="24"/>
        </w:rPr>
        <w:t>ENESCYT</w:t>
      </w:r>
      <w:r w:rsidRPr="009342ED">
        <w:rPr>
          <w:rFonts w:ascii="Times New Roman" w:hAnsi="Times New Roman" w:cs="Times New Roman"/>
          <w:sz w:val="24"/>
          <w:szCs w:val="24"/>
        </w:rPr>
        <w:t>.</w:t>
      </w:r>
    </w:p>
    <w:p w:rsidR="001D2231" w:rsidRDefault="001D2231" w:rsidP="001D2231">
      <w:pPr>
        <w:tabs>
          <w:tab w:val="left" w:pos="4111"/>
        </w:tabs>
        <w:spacing w:line="240" w:lineRule="auto"/>
        <w:jc w:val="both"/>
        <w:rPr>
          <w:rFonts w:ascii="Times New Roman" w:hAnsi="Times New Roman" w:cs="Times New Roman"/>
          <w:sz w:val="24"/>
          <w:szCs w:val="24"/>
        </w:rPr>
      </w:pPr>
    </w:p>
    <w:p w:rsidR="001D2231" w:rsidRPr="009342ED" w:rsidRDefault="001D2231" w:rsidP="001D2231">
      <w:pPr>
        <w:tabs>
          <w:tab w:val="left" w:pos="4111"/>
        </w:tabs>
        <w:spacing w:line="240" w:lineRule="auto"/>
        <w:jc w:val="both"/>
        <w:rPr>
          <w:rFonts w:ascii="Times New Roman" w:hAnsi="Times New Roman" w:cs="Times New Roman"/>
          <w:sz w:val="24"/>
          <w:szCs w:val="24"/>
        </w:rPr>
      </w:pPr>
    </w:p>
    <w:p w:rsidR="001D2231" w:rsidRPr="009342ED" w:rsidRDefault="001D2231" w:rsidP="001D2231">
      <w:pPr>
        <w:spacing w:line="240" w:lineRule="auto"/>
        <w:ind w:left="720" w:hanging="360"/>
        <w:jc w:val="both"/>
        <w:rPr>
          <w:rFonts w:ascii="Times New Roman" w:hAnsi="Times New Roman" w:cs="Times New Roman"/>
          <w:sz w:val="24"/>
          <w:szCs w:val="24"/>
        </w:rPr>
      </w:pPr>
    </w:p>
    <w:p w:rsidR="001D2231" w:rsidRPr="009342ED" w:rsidRDefault="001D2231" w:rsidP="001D223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El g</w:t>
      </w:r>
      <w:r w:rsidRPr="009342ED">
        <w:rPr>
          <w:rFonts w:ascii="Times New Roman" w:hAnsi="Times New Roman" w:cs="Times New Roman"/>
          <w:sz w:val="24"/>
          <w:szCs w:val="24"/>
        </w:rPr>
        <w:t xml:space="preserve">asto público en educación superior como porcentaje del PIB </w:t>
      </w:r>
      <w:r>
        <w:rPr>
          <w:rFonts w:ascii="Times New Roman" w:hAnsi="Times New Roman" w:cs="Times New Roman"/>
          <w:sz w:val="24"/>
          <w:szCs w:val="24"/>
        </w:rPr>
        <w:t>en Ecuador es uno de los mayores en perspectiva mundial.</w:t>
      </w:r>
    </w:p>
    <w:p w:rsidR="001D2231" w:rsidRPr="009342ED" w:rsidRDefault="001D2231" w:rsidP="001D2231">
      <w:pPr>
        <w:spacing w:line="240" w:lineRule="auto"/>
        <w:jc w:val="both"/>
        <w:rPr>
          <w:rFonts w:ascii="Times New Roman" w:hAnsi="Times New Roman" w:cs="Times New Roman"/>
          <w:sz w:val="24"/>
          <w:szCs w:val="24"/>
        </w:rPr>
      </w:pPr>
    </w:p>
    <w:p w:rsidR="001D2231" w:rsidRPr="009342ED" w:rsidRDefault="001D2231" w:rsidP="001D2231">
      <w:pPr>
        <w:spacing w:line="240" w:lineRule="auto"/>
        <w:jc w:val="both"/>
        <w:rPr>
          <w:rFonts w:ascii="Times New Roman" w:hAnsi="Times New Roman" w:cs="Times New Roman"/>
          <w:sz w:val="24"/>
          <w:szCs w:val="24"/>
        </w:rPr>
      </w:pPr>
    </w:p>
    <w:p w:rsidR="001D2231" w:rsidRPr="009342ED" w:rsidRDefault="001D2231" w:rsidP="001D2231">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5326380" cy="30422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3042285"/>
                    </a:xfrm>
                    <a:prstGeom prst="rect">
                      <a:avLst/>
                    </a:prstGeom>
                    <a:noFill/>
                    <a:ln>
                      <a:noFill/>
                    </a:ln>
                  </pic:spPr>
                </pic:pic>
              </a:graphicData>
            </a:graphic>
          </wp:inline>
        </w:drawing>
      </w:r>
    </w:p>
    <w:p w:rsidR="001D2231" w:rsidRDefault="001D2231" w:rsidP="001D2231">
      <w:pPr>
        <w:spacing w:line="240" w:lineRule="auto"/>
        <w:jc w:val="both"/>
        <w:rPr>
          <w:rFonts w:ascii="Times New Roman" w:hAnsi="Times New Roman" w:cs="Times New Roman"/>
          <w:sz w:val="24"/>
          <w:szCs w:val="24"/>
        </w:rPr>
      </w:pPr>
    </w:p>
    <w:p w:rsidR="001D2231" w:rsidRDefault="001D2231" w:rsidP="001D2231">
      <w:pPr>
        <w:spacing w:line="240" w:lineRule="auto"/>
        <w:jc w:val="center"/>
        <w:rPr>
          <w:rFonts w:ascii="Times New Roman" w:hAnsi="Times New Roman" w:cs="Times New Roman"/>
          <w:sz w:val="24"/>
          <w:szCs w:val="24"/>
          <w:lang w:val="en-NZ"/>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67</w:t>
      </w:r>
      <w:r w:rsidRPr="009342ED">
        <w:rPr>
          <w:rFonts w:ascii="Times New Roman" w:hAnsi="Times New Roman" w:cs="Times New Roman"/>
          <w:sz w:val="24"/>
          <w:szCs w:val="24"/>
        </w:rPr>
        <w:t xml:space="preserve">. Gasto público en educación superior como porcentaje del PIB. </w:t>
      </w:r>
      <w:r w:rsidRPr="009342ED">
        <w:rPr>
          <w:rFonts w:ascii="Times New Roman" w:hAnsi="Times New Roman" w:cs="Times New Roman"/>
          <w:sz w:val="24"/>
          <w:szCs w:val="24"/>
          <w:lang w:val="en-NZ"/>
        </w:rPr>
        <w:t xml:space="preserve">Fuente: UNESCO Institute for Statistic. Government expenditure on tertiary education as % of GDP (%) </w:t>
      </w:r>
      <w:r w:rsidRPr="001776DB">
        <w:rPr>
          <w:rFonts w:ascii="Times New Roman" w:hAnsi="Times New Roman" w:cs="Times New Roman"/>
          <w:sz w:val="24"/>
          <w:szCs w:val="24"/>
          <w:lang w:val="en-NZ"/>
        </w:rPr>
        <w:t>http://data.uis.unesco.org/index.aspx?queryid=181#</w:t>
      </w:r>
    </w:p>
    <w:p w:rsidR="001D2231" w:rsidRPr="009342ED" w:rsidRDefault="001D2231" w:rsidP="001D2231">
      <w:pPr>
        <w:spacing w:line="240" w:lineRule="auto"/>
        <w:jc w:val="center"/>
        <w:rPr>
          <w:rFonts w:ascii="Times New Roman" w:hAnsi="Times New Roman" w:cs="Times New Roman"/>
          <w:sz w:val="24"/>
          <w:szCs w:val="24"/>
          <w:lang w:val="en-NZ"/>
        </w:rPr>
      </w:pPr>
    </w:p>
    <w:p w:rsidR="001D2231" w:rsidRDefault="001D2231" w:rsidP="001D2231">
      <w:pPr>
        <w:spacing w:line="240" w:lineRule="auto"/>
        <w:jc w:val="both"/>
        <w:rPr>
          <w:rFonts w:ascii="Times New Roman" w:hAnsi="Times New Roman" w:cs="Times New Roman"/>
          <w:sz w:val="24"/>
          <w:szCs w:val="24"/>
        </w:rPr>
      </w:pPr>
      <w:r w:rsidRPr="00A600E4">
        <w:rPr>
          <w:rFonts w:ascii="Times New Roman" w:hAnsi="Times New Roman" w:cs="Times New Roman"/>
          <w:sz w:val="24"/>
          <w:szCs w:val="24"/>
        </w:rPr>
        <w:t xml:space="preserve">La </w:t>
      </w:r>
      <w:r>
        <w:rPr>
          <w:rFonts w:ascii="Times New Roman" w:hAnsi="Times New Roman" w:cs="Times New Roman"/>
          <w:sz w:val="24"/>
          <w:szCs w:val="24"/>
        </w:rPr>
        <w:t xml:space="preserve">Constitución y la </w:t>
      </w:r>
      <w:r w:rsidRPr="00A600E4">
        <w:rPr>
          <w:rFonts w:ascii="Times New Roman" w:hAnsi="Times New Roman" w:cs="Times New Roman"/>
          <w:sz w:val="24"/>
          <w:szCs w:val="24"/>
        </w:rPr>
        <w:t xml:space="preserve">Ley Orgánica de Educación Superior </w:t>
      </w:r>
      <w:r>
        <w:rPr>
          <w:rFonts w:ascii="Times New Roman" w:hAnsi="Times New Roman" w:cs="Times New Roman"/>
          <w:sz w:val="24"/>
          <w:szCs w:val="24"/>
        </w:rPr>
        <w:t>otorgan a las universidades autonomía responsable. Ciertamente los incrementos sustanciales en el financiamiento de las universidades significan un fortalecimiento de un aspecto central de su autonomía, ya que “autonomía” implica “poder hacer” y el financiamiento es una condición necesaria para ello. El concepto de autonomía, como el de la libertad y la independencia, son términos del arte en filosofía y el argumento político. Pero tienen varias concepciones con distintas implicaciones. En el concepto libertario de autonomía, ella es la capacidad para hacer lo que sea que el sujeto en cuestión decida hacer, sea esto salvar vidas del hambre o ejercer el “poder absoluto y autoridad sobre sus esclavos negros, independiente de su religión,” como lo decía la Constitución Fundamental de las Carolinas, en la cual vale la pena recordar, participó en crear John Locke (</w:t>
      </w:r>
      <w:proofErr w:type="spellStart"/>
      <w:r>
        <w:rPr>
          <w:rFonts w:ascii="Times New Roman" w:hAnsi="Times New Roman" w:cs="Times New Roman"/>
          <w:sz w:val="24"/>
          <w:szCs w:val="24"/>
        </w:rPr>
        <w:t>Losurdo</w:t>
      </w:r>
      <w:proofErr w:type="spellEnd"/>
      <w:r>
        <w:rPr>
          <w:rFonts w:ascii="Times New Roman" w:hAnsi="Times New Roman" w:cs="Times New Roman"/>
          <w:sz w:val="24"/>
          <w:szCs w:val="24"/>
        </w:rPr>
        <w:t xml:space="preserve">, 2007). En la concepción libertaria, el </w:t>
      </w:r>
      <w:r w:rsidRPr="00E96651">
        <w:rPr>
          <w:rFonts w:ascii="Times New Roman" w:hAnsi="Times New Roman" w:cs="Times New Roman"/>
          <w:i/>
          <w:sz w:val="24"/>
          <w:szCs w:val="24"/>
        </w:rPr>
        <w:t>poder hacer</w:t>
      </w:r>
      <w:r>
        <w:rPr>
          <w:rFonts w:ascii="Times New Roman" w:hAnsi="Times New Roman" w:cs="Times New Roman"/>
          <w:sz w:val="24"/>
          <w:szCs w:val="24"/>
        </w:rPr>
        <w:t xml:space="preserve"> está auto-justificado por el mero hecho de tener el poder. Pero tiene la poco atractiva implicación que si tengo el poder para esclavizar, prohibirme esclavizar sería una infracción contra mi legítima autonomía. En el caso de las universidades públicas, la concepción sería que las</w:t>
      </w:r>
      <w:r w:rsidRPr="00C23395">
        <w:rPr>
          <w:rFonts w:ascii="Times New Roman" w:hAnsi="Times New Roman" w:cs="Times New Roman"/>
          <w:sz w:val="24"/>
          <w:szCs w:val="24"/>
        </w:rPr>
        <w:t xml:space="preserve"> universidades se dirigen independiente de la calidad, pertinencia y cobertura</w:t>
      </w:r>
      <w:r>
        <w:rPr>
          <w:rFonts w:ascii="Times New Roman" w:hAnsi="Times New Roman" w:cs="Times New Roman"/>
          <w:sz w:val="24"/>
          <w:szCs w:val="24"/>
        </w:rPr>
        <w:t>, lo cual no parece tener sentido, especialmente considerando que son financiadas con fondos de toda la sociedad.</w:t>
      </w:r>
    </w:p>
    <w:p w:rsidR="001D2231" w:rsidRDefault="001D2231" w:rsidP="001D2231">
      <w:pPr>
        <w:spacing w:line="240" w:lineRule="auto"/>
        <w:jc w:val="both"/>
        <w:rPr>
          <w:rFonts w:ascii="Times New Roman" w:hAnsi="Times New Roman" w:cs="Times New Roman"/>
          <w:sz w:val="24"/>
          <w:szCs w:val="24"/>
        </w:rPr>
      </w:pPr>
    </w:p>
    <w:p w:rsidR="001D2231" w:rsidRDefault="001D2231" w:rsidP="001D223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Por otro lado, la concepción liberal sería que la autonomía se da cuando no se tiene interferencia del poder político. Pero esta idea también tiene el problema de que implica que cuando alguien viola los derechos de alguien más, el poder político no puede interferir para protegerle y garantizar sus derechos, la cual es gran parte de su razón de ser. Ahora otro concepto de autonomía es el de una democracia de derechos, la cual reconoce que todos tenemos derechos y organizamos instituciones para garantizarlos. Dichas instituciones, financiadas con los recursos de todos, tienen autonomía en el sentido de que no deben encontrar interferencias económicas y políticas que les prevengan realizar su función en el sistema democrático. En el caso de las universidades, una dimensión central de su función es ser</w:t>
      </w:r>
      <w:r w:rsidRPr="00C23395">
        <w:rPr>
          <w:rFonts w:ascii="Times New Roman" w:hAnsi="Times New Roman" w:cs="Times New Roman"/>
          <w:sz w:val="24"/>
          <w:szCs w:val="24"/>
        </w:rPr>
        <w:t xml:space="preserve"> autoras competentes de sus propias formas de garantizar la amplia cobertura del derecho a la educación</w:t>
      </w:r>
      <w:r>
        <w:rPr>
          <w:rFonts w:ascii="Times New Roman" w:hAnsi="Times New Roman" w:cs="Times New Roman"/>
          <w:sz w:val="24"/>
          <w:szCs w:val="24"/>
        </w:rPr>
        <w:t xml:space="preserve"> superior</w:t>
      </w:r>
      <w:r w:rsidRPr="00C23395">
        <w:rPr>
          <w:rFonts w:ascii="Times New Roman" w:hAnsi="Times New Roman" w:cs="Times New Roman"/>
          <w:sz w:val="24"/>
          <w:szCs w:val="24"/>
        </w:rPr>
        <w:t xml:space="preserve"> con calidad y pertinencia</w:t>
      </w:r>
      <w:r>
        <w:rPr>
          <w:rFonts w:ascii="Times New Roman" w:hAnsi="Times New Roman" w:cs="Times New Roman"/>
          <w:sz w:val="24"/>
          <w:szCs w:val="24"/>
        </w:rPr>
        <w:t>. Es en este sentido que vale la pena evaluar las universidades y su rol central en la garantía del derecho a la educación.</w:t>
      </w:r>
    </w:p>
    <w:p w:rsidR="001D2231" w:rsidRDefault="001D2231" w:rsidP="001D2231">
      <w:pPr>
        <w:spacing w:line="240" w:lineRule="auto"/>
        <w:jc w:val="both"/>
        <w:rPr>
          <w:rFonts w:ascii="Times New Roman" w:hAnsi="Times New Roman" w:cs="Times New Roman"/>
          <w:sz w:val="24"/>
          <w:szCs w:val="24"/>
        </w:rPr>
      </w:pPr>
    </w:p>
    <w:p w:rsidR="001D2231" w:rsidRPr="009342ED" w:rsidRDefault="001D2231" w:rsidP="001D223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Efectivamente, la cobertura de este derecho se ha expandido. </w:t>
      </w:r>
      <w:r w:rsidRPr="009342ED">
        <w:rPr>
          <w:rFonts w:ascii="Times New Roman" w:hAnsi="Times New Roman" w:cs="Times New Roman"/>
          <w:sz w:val="24"/>
          <w:szCs w:val="24"/>
        </w:rPr>
        <w:t>En el pe</w:t>
      </w:r>
      <w:r>
        <w:rPr>
          <w:rFonts w:ascii="Times New Roman" w:hAnsi="Times New Roman" w:cs="Times New Roman"/>
          <w:sz w:val="24"/>
          <w:szCs w:val="24"/>
        </w:rPr>
        <w:t xml:space="preserve">ríodo referido 2006-2014, ha </w:t>
      </w:r>
      <w:r w:rsidRPr="009342ED">
        <w:rPr>
          <w:rFonts w:ascii="Times New Roman" w:hAnsi="Times New Roman" w:cs="Times New Roman"/>
          <w:sz w:val="24"/>
          <w:szCs w:val="24"/>
        </w:rPr>
        <w:t xml:space="preserve">incrementado la </w:t>
      </w:r>
      <w:r>
        <w:rPr>
          <w:rFonts w:ascii="Times New Roman" w:hAnsi="Times New Roman" w:cs="Times New Roman"/>
          <w:sz w:val="24"/>
          <w:szCs w:val="24"/>
        </w:rPr>
        <w:t xml:space="preserve">tasa bruta de participación </w:t>
      </w:r>
      <w:r w:rsidRPr="009342ED">
        <w:rPr>
          <w:rFonts w:ascii="Times New Roman" w:hAnsi="Times New Roman" w:cs="Times New Roman"/>
          <w:sz w:val="24"/>
          <w:szCs w:val="24"/>
        </w:rPr>
        <w:t>en la educación superior del 28% al 39%</w:t>
      </w:r>
      <w:r>
        <w:rPr>
          <w:rFonts w:ascii="Times New Roman" w:hAnsi="Times New Roman" w:cs="Times New Roman"/>
          <w:sz w:val="24"/>
          <w:szCs w:val="24"/>
        </w:rPr>
        <w:t>.</w:t>
      </w:r>
    </w:p>
    <w:p w:rsidR="001D2231" w:rsidRPr="009342ED" w:rsidRDefault="001D2231" w:rsidP="001D2231">
      <w:pPr>
        <w:spacing w:line="240" w:lineRule="auto"/>
        <w:jc w:val="both"/>
        <w:rPr>
          <w:rFonts w:ascii="Times New Roman" w:hAnsi="Times New Roman" w:cs="Times New Roman"/>
          <w:sz w:val="24"/>
          <w:szCs w:val="24"/>
        </w:rPr>
      </w:pPr>
    </w:p>
    <w:p w:rsidR="001D2231" w:rsidRPr="009342ED" w:rsidRDefault="001D2231" w:rsidP="001D2231">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760595" cy="227584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0595" cy="2275840"/>
                    </a:xfrm>
                    <a:prstGeom prst="rect">
                      <a:avLst/>
                    </a:prstGeom>
                    <a:noFill/>
                    <a:ln>
                      <a:noFill/>
                    </a:ln>
                  </pic:spPr>
                </pic:pic>
              </a:graphicData>
            </a:graphic>
          </wp:inline>
        </w:drawing>
      </w:r>
    </w:p>
    <w:p w:rsidR="001D2231" w:rsidRDefault="001D2231" w:rsidP="001D2231">
      <w:pPr>
        <w:spacing w:line="240" w:lineRule="auto"/>
        <w:jc w:val="both"/>
        <w:rPr>
          <w:rFonts w:ascii="Times New Roman" w:hAnsi="Times New Roman" w:cs="Times New Roman"/>
          <w:sz w:val="24"/>
          <w:szCs w:val="24"/>
        </w:rPr>
      </w:pPr>
    </w:p>
    <w:p w:rsidR="001D2231" w:rsidRPr="009342ED" w:rsidRDefault="001D2231" w:rsidP="001D2231">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68</w:t>
      </w:r>
      <w:r w:rsidRPr="009342ED">
        <w:rPr>
          <w:rFonts w:ascii="Times New Roman" w:hAnsi="Times New Roman" w:cs="Times New Roman"/>
          <w:sz w:val="24"/>
          <w:szCs w:val="24"/>
        </w:rPr>
        <w:t xml:space="preserve">. Tasa bruta de participación en la educación superior matrícula (2006-2014). Fuente: Datos 2006 CONESUP para el período 2007: 443.509 estudiantes, en G. Vega (2009) </w:t>
      </w:r>
      <w:r w:rsidRPr="009342ED">
        <w:rPr>
          <w:rFonts w:ascii="Times New Roman" w:hAnsi="Times New Roman" w:cs="Times New Roman"/>
          <w:i/>
          <w:sz w:val="24"/>
          <w:szCs w:val="24"/>
        </w:rPr>
        <w:t>Encuesta de Condiciones de Vida (ECV)</w:t>
      </w:r>
      <w:r w:rsidRPr="009342ED">
        <w:rPr>
          <w:rFonts w:ascii="Times New Roman" w:hAnsi="Times New Roman" w:cs="Times New Roman"/>
          <w:sz w:val="24"/>
          <w:szCs w:val="24"/>
        </w:rPr>
        <w:t xml:space="preserve"> personas que asisten a la educación superior 463.175. Informe de Gestión: 2008-2009. Quito: CONESUP. Datos 2014, corresponden a micro dato de estudiantes matriculados, reportados por las instituciones de educación superior al SNIESE.</w:t>
      </w:r>
    </w:p>
    <w:p w:rsidR="001D2231" w:rsidRDefault="001D2231" w:rsidP="001D2231">
      <w:pPr>
        <w:spacing w:line="240" w:lineRule="auto"/>
        <w:jc w:val="both"/>
        <w:rPr>
          <w:rFonts w:ascii="Times New Roman" w:hAnsi="Times New Roman" w:cs="Times New Roman"/>
          <w:sz w:val="24"/>
          <w:szCs w:val="24"/>
        </w:rPr>
      </w:pPr>
    </w:p>
    <w:p w:rsidR="001D2231" w:rsidRDefault="001D2231" w:rsidP="001D2231">
      <w:pPr>
        <w:spacing w:line="240" w:lineRule="auto"/>
        <w:jc w:val="both"/>
        <w:rPr>
          <w:rFonts w:ascii="Times New Roman" w:hAnsi="Times New Roman" w:cs="Times New Roman"/>
          <w:sz w:val="24"/>
          <w:szCs w:val="24"/>
        </w:rPr>
      </w:pPr>
      <w:r>
        <w:rPr>
          <w:rFonts w:ascii="Times New Roman" w:hAnsi="Times New Roman" w:cs="Times New Roman"/>
          <w:sz w:val="24"/>
          <w:szCs w:val="24"/>
        </w:rPr>
        <w:t>Como fue mencionado anteriormente, la</w:t>
      </w:r>
      <w:r w:rsidRPr="009342ED">
        <w:rPr>
          <w:rFonts w:ascii="Times New Roman" w:hAnsi="Times New Roman" w:cs="Times New Roman"/>
          <w:sz w:val="24"/>
          <w:szCs w:val="24"/>
        </w:rPr>
        <w:t xml:space="preserve"> matrícula de las universidades públicas en Ecuador</w:t>
      </w:r>
      <w:r>
        <w:rPr>
          <w:rFonts w:ascii="Times New Roman" w:hAnsi="Times New Roman" w:cs="Times New Roman"/>
          <w:sz w:val="24"/>
          <w:szCs w:val="24"/>
        </w:rPr>
        <w:t xml:space="preserve"> no tiene</w:t>
      </w:r>
      <w:r w:rsidRPr="009342ED">
        <w:rPr>
          <w:rFonts w:ascii="Times New Roman" w:hAnsi="Times New Roman" w:cs="Times New Roman"/>
          <w:sz w:val="24"/>
          <w:szCs w:val="24"/>
        </w:rPr>
        <w:t xml:space="preserve"> costo para el alumno y se selecciona basa</w:t>
      </w:r>
      <w:r>
        <w:rPr>
          <w:rFonts w:ascii="Times New Roman" w:hAnsi="Times New Roman" w:cs="Times New Roman"/>
          <w:sz w:val="24"/>
          <w:szCs w:val="24"/>
        </w:rPr>
        <w:t>do en mérito expresado en el Examen Nacional. L</w:t>
      </w:r>
      <w:r w:rsidRPr="009342ED">
        <w:rPr>
          <w:rFonts w:ascii="Times New Roman" w:hAnsi="Times New Roman" w:cs="Times New Roman"/>
          <w:sz w:val="24"/>
          <w:szCs w:val="24"/>
        </w:rPr>
        <w:t>as universidades</w:t>
      </w:r>
      <w:r>
        <w:rPr>
          <w:rFonts w:ascii="Times New Roman" w:hAnsi="Times New Roman" w:cs="Times New Roman"/>
          <w:sz w:val="24"/>
          <w:szCs w:val="24"/>
        </w:rPr>
        <w:t xml:space="preserve"> ofrecen los cupos para sus carreras</w:t>
      </w:r>
      <w:r w:rsidRPr="009342ED">
        <w:rPr>
          <w:rFonts w:ascii="Times New Roman" w:hAnsi="Times New Roman" w:cs="Times New Roman"/>
          <w:sz w:val="24"/>
          <w:szCs w:val="24"/>
        </w:rPr>
        <w:t>, los estudiantes expresan sus preferencias ordenadas y se llenan los cupos para las distintas carreras con los estudiantes que obtienen los puntajes más altos que expresan preferencia por cada carrera. Como consecuencia del mayor financiamiento y fortalecimiento de las universidades se ha aumentado e</w:t>
      </w:r>
      <w:r>
        <w:rPr>
          <w:rFonts w:ascii="Times New Roman" w:hAnsi="Times New Roman" w:cs="Times New Roman"/>
          <w:sz w:val="24"/>
          <w:szCs w:val="24"/>
        </w:rPr>
        <w:t xml:space="preserve">l acceso en 59%, pasando de 443,509 estudiantes a </w:t>
      </w:r>
      <w:r>
        <w:rPr>
          <w:rFonts w:ascii="Times New Roman" w:hAnsi="Times New Roman" w:cs="Times New Roman"/>
          <w:sz w:val="24"/>
          <w:szCs w:val="24"/>
        </w:rPr>
        <w:lastRenderedPageBreak/>
        <w:t>703,</w:t>
      </w:r>
      <w:r w:rsidRPr="009342ED">
        <w:rPr>
          <w:rFonts w:ascii="Times New Roman" w:hAnsi="Times New Roman" w:cs="Times New Roman"/>
          <w:sz w:val="24"/>
          <w:szCs w:val="24"/>
        </w:rPr>
        <w:t>806 estudiantes (</w:t>
      </w:r>
      <w:proofErr w:type="spellStart"/>
      <w:r w:rsidRPr="009342ED">
        <w:rPr>
          <w:rFonts w:ascii="Times New Roman" w:hAnsi="Times New Roman" w:cs="Times New Roman"/>
          <w:sz w:val="24"/>
          <w:szCs w:val="24"/>
        </w:rPr>
        <w:t>Hitner</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Senescyt</w:t>
      </w:r>
      <w:proofErr w:type="spellEnd"/>
      <w:r>
        <w:rPr>
          <w:rFonts w:ascii="Times New Roman" w:hAnsi="Times New Roman" w:cs="Times New Roman"/>
          <w:sz w:val="24"/>
          <w:szCs w:val="24"/>
        </w:rPr>
        <w:t xml:space="preserve">, </w:t>
      </w:r>
      <w:r w:rsidRPr="009342ED">
        <w:rPr>
          <w:rFonts w:ascii="Times New Roman" w:hAnsi="Times New Roman" w:cs="Times New Roman"/>
          <w:sz w:val="24"/>
          <w:szCs w:val="24"/>
        </w:rPr>
        <w:t>2015). Esta es la forma de universalizar el derecho a la educación superior, de acuerdo a las capacidades de las instituciones de educación superior</w:t>
      </w:r>
      <w:r>
        <w:rPr>
          <w:rFonts w:ascii="Times New Roman" w:hAnsi="Times New Roman" w:cs="Times New Roman"/>
          <w:sz w:val="24"/>
          <w:szCs w:val="24"/>
        </w:rPr>
        <w:t>,</w:t>
      </w:r>
      <w:r w:rsidRPr="009342ED">
        <w:rPr>
          <w:rFonts w:ascii="Times New Roman" w:hAnsi="Times New Roman" w:cs="Times New Roman"/>
          <w:sz w:val="24"/>
          <w:szCs w:val="24"/>
        </w:rPr>
        <w:t xml:space="preserve"> observando los méritos de los estudiantes, principios de no discriminación, y el interés de formar los mejores profesionales que se puedan identificar para ayudar a llegar a los objetivos de los planes de desarrollo</w:t>
      </w:r>
      <w:r>
        <w:rPr>
          <w:rFonts w:ascii="Times New Roman" w:hAnsi="Times New Roman" w:cs="Times New Roman"/>
          <w:sz w:val="24"/>
          <w:szCs w:val="24"/>
        </w:rPr>
        <w:t xml:space="preserve"> nacional para el Buen Vivir</w:t>
      </w:r>
      <w:r w:rsidRPr="009342ED">
        <w:rPr>
          <w:rFonts w:ascii="Times New Roman" w:hAnsi="Times New Roman" w:cs="Times New Roman"/>
          <w:sz w:val="24"/>
          <w:szCs w:val="24"/>
        </w:rPr>
        <w:t xml:space="preserve">. </w:t>
      </w:r>
    </w:p>
    <w:p w:rsidR="001D2231" w:rsidRDefault="001D2231" w:rsidP="001D2231">
      <w:pPr>
        <w:spacing w:line="240" w:lineRule="auto"/>
        <w:jc w:val="both"/>
        <w:rPr>
          <w:rFonts w:ascii="Times New Roman" w:hAnsi="Times New Roman" w:cs="Times New Roman"/>
          <w:sz w:val="24"/>
          <w:szCs w:val="24"/>
        </w:rPr>
      </w:pPr>
    </w:p>
    <w:p w:rsidR="001D2231" w:rsidRDefault="001D2231" w:rsidP="001D2231">
      <w:pPr>
        <w:spacing w:line="240" w:lineRule="auto"/>
        <w:jc w:val="both"/>
        <w:rPr>
          <w:rFonts w:ascii="Times New Roman" w:hAnsi="Times New Roman" w:cs="Times New Roman"/>
          <w:sz w:val="24"/>
          <w:szCs w:val="24"/>
        </w:rPr>
      </w:pPr>
      <w:r>
        <w:rPr>
          <w:rFonts w:ascii="Times New Roman" w:hAnsi="Times New Roman" w:cs="Times New Roman"/>
          <w:sz w:val="24"/>
          <w:szCs w:val="24"/>
        </w:rPr>
        <w:t>Uno de los factores principales que ha impedido el acceso al derecho a la educación superior es falta de recursos de estudiantes. En el próximo gráfico podemos observar una rápida reducción del impacto de esta barrera al acceso, reduciéndose en 18 puntos o 40% en términos proporcionales.</w:t>
      </w:r>
    </w:p>
    <w:p w:rsidR="001D2231" w:rsidRDefault="001D2231" w:rsidP="001D2231">
      <w:pPr>
        <w:spacing w:line="240" w:lineRule="auto"/>
        <w:jc w:val="both"/>
        <w:rPr>
          <w:rFonts w:ascii="Times New Roman" w:hAnsi="Times New Roman" w:cs="Times New Roman"/>
          <w:sz w:val="24"/>
          <w:szCs w:val="24"/>
        </w:rPr>
      </w:pPr>
    </w:p>
    <w:p w:rsidR="001D2231" w:rsidRDefault="001D2231" w:rsidP="001D2231">
      <w:pPr>
        <w:spacing w:line="240" w:lineRule="auto"/>
        <w:jc w:val="center"/>
        <w:rPr>
          <w:rFonts w:ascii="Times New Roman" w:hAnsi="Times New Roman" w:cs="Times New Roman"/>
          <w:sz w:val="24"/>
          <w:szCs w:val="24"/>
        </w:rPr>
      </w:pPr>
      <w:r w:rsidRPr="008F5A28">
        <w:rPr>
          <w:rFonts w:ascii="Times New Roman" w:hAnsi="Times New Roman" w:cs="Times New Roman"/>
          <w:noProof/>
          <w:sz w:val="24"/>
          <w:szCs w:val="24"/>
          <w:lang w:eastAsia="es-EC"/>
        </w:rPr>
        <w:drawing>
          <wp:inline distT="0" distB="0" distL="0" distR="0">
            <wp:extent cx="3907790" cy="1988820"/>
            <wp:effectExtent l="0" t="0" r="0" b="0"/>
            <wp:docPr id="3" name="Imagen 3" descr="Gráfico Eliminación de barreras de en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áfico Eliminación de barreras de entr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7790" cy="1988820"/>
                    </a:xfrm>
                    <a:prstGeom prst="rect">
                      <a:avLst/>
                    </a:prstGeom>
                    <a:noFill/>
                    <a:ln>
                      <a:noFill/>
                    </a:ln>
                  </pic:spPr>
                </pic:pic>
              </a:graphicData>
            </a:graphic>
          </wp:inline>
        </w:drawing>
      </w:r>
    </w:p>
    <w:p w:rsidR="001D2231" w:rsidRDefault="001D2231" w:rsidP="001D223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Gráfico 69. No entra a la educación superior por falta de recursos. ENEMDU 2006-2015. Elaboración: </w:t>
      </w:r>
      <w:proofErr w:type="spellStart"/>
      <w:r>
        <w:rPr>
          <w:rFonts w:ascii="Times New Roman" w:hAnsi="Times New Roman" w:cs="Times New Roman"/>
          <w:sz w:val="24"/>
          <w:szCs w:val="24"/>
        </w:rPr>
        <w:t>Hitner</w:t>
      </w:r>
      <w:proofErr w:type="spellEnd"/>
      <w:r>
        <w:rPr>
          <w:rFonts w:ascii="Times New Roman" w:hAnsi="Times New Roman" w:cs="Times New Roman"/>
          <w:sz w:val="24"/>
          <w:szCs w:val="24"/>
        </w:rPr>
        <w:t xml:space="preserve"> (2016).</w:t>
      </w:r>
    </w:p>
    <w:p w:rsidR="001D2231" w:rsidRDefault="001D2231" w:rsidP="001D2231">
      <w:pPr>
        <w:spacing w:line="240" w:lineRule="auto"/>
        <w:jc w:val="both"/>
        <w:rPr>
          <w:rFonts w:ascii="Times New Roman" w:hAnsi="Times New Roman" w:cs="Times New Roman"/>
          <w:sz w:val="24"/>
          <w:szCs w:val="24"/>
        </w:rPr>
      </w:pPr>
    </w:p>
    <w:p w:rsidR="001D2231" w:rsidRDefault="001D2231" w:rsidP="001D2231">
      <w:pPr>
        <w:spacing w:line="240" w:lineRule="auto"/>
        <w:jc w:val="both"/>
        <w:rPr>
          <w:rFonts w:ascii="Times New Roman" w:hAnsi="Times New Roman" w:cs="Times New Roman"/>
          <w:sz w:val="24"/>
          <w:szCs w:val="24"/>
        </w:rPr>
      </w:pPr>
      <w:r>
        <w:rPr>
          <w:rFonts w:ascii="Times New Roman" w:hAnsi="Times New Roman" w:cs="Times New Roman"/>
          <w:sz w:val="24"/>
          <w:szCs w:val="24"/>
        </w:rPr>
        <w:t>El acceso al derecho a la educación superior se ha incrementado sustancialmente, de generación a generación, ya que 71% de lo que ingresan en el sistema son de primera generación que accede a estudios universitarios.</w:t>
      </w:r>
    </w:p>
    <w:p w:rsidR="001D2231" w:rsidRDefault="001D2231" w:rsidP="001D2231">
      <w:pPr>
        <w:spacing w:line="240" w:lineRule="auto"/>
        <w:jc w:val="both"/>
        <w:rPr>
          <w:rFonts w:ascii="Times New Roman" w:hAnsi="Times New Roman" w:cs="Times New Roman"/>
          <w:sz w:val="24"/>
          <w:szCs w:val="24"/>
        </w:rPr>
      </w:pP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82BD9"/>
    <w:multiLevelType w:val="hybridMultilevel"/>
    <w:tmpl w:val="BBDA2D4A"/>
    <w:lvl w:ilvl="0" w:tplc="FC0CE706">
      <w:start w:val="1"/>
      <w:numFmt w:val="decimal"/>
      <w:lvlText w:val="%1."/>
      <w:lvlJc w:val="left"/>
      <w:pPr>
        <w:ind w:left="720" w:hanging="360"/>
      </w:pPr>
      <w:rPr>
        <w:rFonts w:hint="default"/>
        <w:sz w:val="32"/>
        <w:szCs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1D2231"/>
    <w:rsid w:val="00655A68"/>
    <w:rsid w:val="00691D32"/>
    <w:rsid w:val="006C6F94"/>
    <w:rsid w:val="00913055"/>
    <w:rsid w:val="009A34A0"/>
    <w:rsid w:val="00A606C2"/>
    <w:rsid w:val="00B33AD2"/>
    <w:rsid w:val="00B96ED3"/>
    <w:rsid w:val="00BF442D"/>
    <w:rsid w:val="00C4179C"/>
    <w:rsid w:val="00CB4C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1021</Words>
  <Characters>5620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2017-12-30T03:26:00Z</dcterms:created>
  <dcterms:modified xsi:type="dcterms:W3CDTF">2018-01-02T16:40:00Z</dcterms:modified>
</cp:coreProperties>
</file>