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proofErr w:type="spellStart"/>
      <w:r w:rsidR="00086161">
        <w:t>Yaguachi</w:t>
      </w:r>
      <w:proofErr w:type="spellEnd"/>
      <w:r>
        <w:t xml:space="preserve">, </w:t>
      </w:r>
      <w:r w:rsidR="00086161">
        <w:t>24</w:t>
      </w:r>
      <w:r>
        <w:t xml:space="preserve"> de Marzo, 2017</w:t>
      </w:r>
    </w:p>
    <w:p w:rsidR="00086161" w:rsidRDefault="00086161" w:rsidP="00086161">
      <w:pPr>
        <w:tabs>
          <w:tab w:val="left" w:pos="4111"/>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 resultado es el incremento sustancial de la cantidad y calidad de educación, en los rankings internacionales, medido por el Foro Económico Mundial. Esta tabla basada en los datos del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Competitiveness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Report</w:t>
      </w:r>
      <w:proofErr w:type="spellEnd"/>
      <w:r>
        <w:rPr>
          <w:rFonts w:ascii="Times New Roman" w:hAnsi="Times New Roman" w:cs="Times New Roman"/>
          <w:sz w:val="24"/>
          <w:szCs w:val="24"/>
        </w:rPr>
        <w:t xml:space="preserve"> del Foro Económico Mundial muestra cómo desde el 2006 ha avanzado del puesto 92 al puesto 74 en el 2016 en educación primaria, del puesto 104 al 77 en la calidad de la educación y del 98 al puesto 63 en la cantidad de educación.  </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Tabla 18. Ecuador, educación en rankings mundiales. </w:t>
      </w:r>
      <w:proofErr w:type="spellStart"/>
      <w:r w:rsidRPr="00FC18D8">
        <w:rPr>
          <w:rFonts w:ascii="Times New Roman" w:hAnsi="Times New Roman" w:cs="Times New Roman"/>
          <w:sz w:val="24"/>
          <w:szCs w:val="24"/>
        </w:rPr>
        <w:t>The</w:t>
      </w:r>
      <w:proofErr w:type="spellEnd"/>
      <w:r w:rsidRPr="00FC18D8">
        <w:rPr>
          <w:rFonts w:ascii="Times New Roman" w:hAnsi="Times New Roman" w:cs="Times New Roman"/>
          <w:sz w:val="24"/>
          <w:szCs w:val="24"/>
        </w:rPr>
        <w:t xml:space="preserve"> Global </w:t>
      </w:r>
      <w:proofErr w:type="spellStart"/>
      <w:r w:rsidRPr="00FC18D8">
        <w:rPr>
          <w:rFonts w:ascii="Times New Roman" w:hAnsi="Times New Roman" w:cs="Times New Roman"/>
          <w:sz w:val="24"/>
          <w:szCs w:val="24"/>
        </w:rPr>
        <w:t>Competitiveness</w:t>
      </w:r>
      <w:proofErr w:type="spellEnd"/>
      <w:r w:rsidRPr="00FC18D8">
        <w:rPr>
          <w:rFonts w:ascii="Times New Roman" w:hAnsi="Times New Roman" w:cs="Times New Roman"/>
          <w:sz w:val="24"/>
          <w:szCs w:val="24"/>
        </w:rPr>
        <w:t xml:space="preserve"> </w:t>
      </w:r>
      <w:proofErr w:type="spellStart"/>
      <w:r w:rsidRPr="00FC18D8">
        <w:rPr>
          <w:rFonts w:ascii="Times New Roman" w:hAnsi="Times New Roman" w:cs="Times New Roman"/>
          <w:sz w:val="24"/>
          <w:szCs w:val="24"/>
        </w:rPr>
        <w:t>Report</w:t>
      </w:r>
      <w:proofErr w:type="spellEnd"/>
      <w:r w:rsidRPr="00FC18D8">
        <w:rPr>
          <w:rFonts w:ascii="Times New Roman" w:hAnsi="Times New Roman" w:cs="Times New Roman"/>
          <w:sz w:val="24"/>
          <w:szCs w:val="24"/>
        </w:rPr>
        <w:t xml:space="preserve"> 2006-2016 (1=lo mejor)</w:t>
      </w:r>
      <w:r>
        <w:rPr>
          <w:rFonts w:ascii="Times New Roman" w:hAnsi="Times New Roman" w:cs="Times New Roman"/>
          <w:sz w:val="24"/>
          <w:szCs w:val="24"/>
        </w:rPr>
        <w:t>. Fuente: Foro Económico Mundial (2016). Elaboración propia.</w:t>
      </w:r>
    </w:p>
    <w:p w:rsidR="00086161" w:rsidRDefault="00086161" w:rsidP="00086161">
      <w:pPr>
        <w:spacing w:line="240" w:lineRule="auto"/>
        <w:jc w:val="center"/>
        <w:rPr>
          <w:rFonts w:ascii="Times New Roman" w:hAnsi="Times New Roman" w:cs="Times New Roman"/>
          <w:sz w:val="24"/>
          <w:szCs w:val="24"/>
        </w:rPr>
      </w:pPr>
    </w:p>
    <w:tbl>
      <w:tblPr>
        <w:tblW w:w="8900" w:type="dxa"/>
        <w:tblInd w:w="70" w:type="dxa"/>
        <w:tblCellMar>
          <w:left w:w="70" w:type="dxa"/>
          <w:right w:w="70" w:type="dxa"/>
        </w:tblCellMar>
        <w:tblLook w:val="04A0" w:firstRow="1" w:lastRow="0" w:firstColumn="1" w:lastColumn="0" w:noHBand="0" w:noVBand="1"/>
      </w:tblPr>
      <w:tblGrid>
        <w:gridCol w:w="1080"/>
        <w:gridCol w:w="2860"/>
        <w:gridCol w:w="1120"/>
        <w:gridCol w:w="1140"/>
        <w:gridCol w:w="2700"/>
      </w:tblGrid>
      <w:tr w:rsidR="00086161" w:rsidRPr="004071BE" w:rsidTr="00F07D52">
        <w:trPr>
          <w:trHeight w:val="31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2006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2016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Mejoramiento de ranking</w:t>
            </w:r>
          </w:p>
        </w:tc>
      </w:tr>
      <w:tr w:rsidR="00086161" w:rsidRPr="004071BE" w:rsidTr="00F07D52">
        <w:trPr>
          <w:trHeight w:val="312"/>
        </w:trPr>
        <w:tc>
          <w:tcPr>
            <w:tcW w:w="1080" w:type="dxa"/>
            <w:vMerge w:val="restart"/>
            <w:tcBorders>
              <w:top w:val="nil"/>
              <w:left w:val="single" w:sz="4" w:space="0" w:color="auto"/>
              <w:bottom w:val="single" w:sz="4" w:space="0" w:color="auto"/>
              <w:right w:val="single" w:sz="4" w:space="0" w:color="auto"/>
            </w:tcBorders>
            <w:shd w:val="clear" w:color="auto" w:fill="auto"/>
            <w:noWrap/>
            <w:hideMark/>
          </w:tcPr>
          <w:p w:rsidR="00086161" w:rsidRPr="004071BE" w:rsidRDefault="00086161" w:rsidP="00F07D52">
            <w:pPr>
              <w:spacing w:line="240" w:lineRule="auto"/>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Ecuador</w:t>
            </w:r>
          </w:p>
        </w:tc>
        <w:tc>
          <w:tcPr>
            <w:tcW w:w="286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Educación primaria</w:t>
            </w:r>
          </w:p>
        </w:tc>
        <w:tc>
          <w:tcPr>
            <w:tcW w:w="112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92 </w:t>
            </w:r>
          </w:p>
        </w:tc>
        <w:tc>
          <w:tcPr>
            <w:tcW w:w="114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74 </w:t>
            </w:r>
          </w:p>
        </w:tc>
        <w:tc>
          <w:tcPr>
            <w:tcW w:w="270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18 </w:t>
            </w:r>
          </w:p>
        </w:tc>
      </w:tr>
      <w:tr w:rsidR="00086161" w:rsidRPr="004071BE" w:rsidTr="00F07D52">
        <w:trPr>
          <w:trHeight w:val="312"/>
        </w:trPr>
        <w:tc>
          <w:tcPr>
            <w:tcW w:w="1080" w:type="dxa"/>
            <w:vMerge/>
            <w:tcBorders>
              <w:top w:val="nil"/>
              <w:left w:val="single" w:sz="4" w:space="0" w:color="auto"/>
              <w:bottom w:val="single" w:sz="4" w:space="0" w:color="auto"/>
              <w:right w:val="single" w:sz="4" w:space="0" w:color="auto"/>
            </w:tcBorders>
            <w:vAlign w:val="center"/>
            <w:hideMark/>
          </w:tcPr>
          <w:p w:rsidR="00086161" w:rsidRPr="004071BE" w:rsidRDefault="00086161" w:rsidP="00F07D52">
            <w:pPr>
              <w:spacing w:line="240" w:lineRule="auto"/>
              <w:rPr>
                <w:rFonts w:ascii="Times New Roman" w:eastAsia="Times New Roman" w:hAnsi="Times New Roman" w:cs="Times New Roman"/>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Calidad de la educación</w:t>
            </w:r>
          </w:p>
        </w:tc>
        <w:tc>
          <w:tcPr>
            <w:tcW w:w="112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104 </w:t>
            </w:r>
          </w:p>
        </w:tc>
        <w:tc>
          <w:tcPr>
            <w:tcW w:w="114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77 </w:t>
            </w:r>
          </w:p>
        </w:tc>
        <w:tc>
          <w:tcPr>
            <w:tcW w:w="270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27 </w:t>
            </w:r>
          </w:p>
        </w:tc>
      </w:tr>
      <w:tr w:rsidR="00086161" w:rsidRPr="004071BE" w:rsidTr="00F07D52">
        <w:trPr>
          <w:trHeight w:val="312"/>
        </w:trPr>
        <w:tc>
          <w:tcPr>
            <w:tcW w:w="1080" w:type="dxa"/>
            <w:vMerge/>
            <w:tcBorders>
              <w:top w:val="nil"/>
              <w:left w:val="single" w:sz="4" w:space="0" w:color="auto"/>
              <w:bottom w:val="single" w:sz="4" w:space="0" w:color="auto"/>
              <w:right w:val="single" w:sz="4" w:space="0" w:color="auto"/>
            </w:tcBorders>
            <w:vAlign w:val="center"/>
            <w:hideMark/>
          </w:tcPr>
          <w:p w:rsidR="00086161" w:rsidRPr="004071BE" w:rsidRDefault="00086161" w:rsidP="00F07D52">
            <w:pPr>
              <w:spacing w:line="240" w:lineRule="auto"/>
              <w:rPr>
                <w:rFonts w:ascii="Times New Roman" w:eastAsia="Times New Roman" w:hAnsi="Times New Roman" w:cs="Times New Roman"/>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Cantidad de educación</w:t>
            </w:r>
          </w:p>
        </w:tc>
        <w:tc>
          <w:tcPr>
            <w:tcW w:w="112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98 </w:t>
            </w:r>
          </w:p>
        </w:tc>
        <w:tc>
          <w:tcPr>
            <w:tcW w:w="114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63 </w:t>
            </w:r>
          </w:p>
        </w:tc>
        <w:tc>
          <w:tcPr>
            <w:tcW w:w="2700" w:type="dxa"/>
            <w:tcBorders>
              <w:top w:val="nil"/>
              <w:left w:val="nil"/>
              <w:bottom w:val="single" w:sz="4" w:space="0" w:color="auto"/>
              <w:right w:val="single" w:sz="4" w:space="0" w:color="auto"/>
            </w:tcBorders>
            <w:shd w:val="clear" w:color="auto" w:fill="auto"/>
            <w:noWrap/>
            <w:vAlign w:val="bottom"/>
            <w:hideMark/>
          </w:tcPr>
          <w:p w:rsidR="00086161" w:rsidRPr="004071BE" w:rsidRDefault="00086161" w:rsidP="00F07D52">
            <w:pPr>
              <w:spacing w:line="240" w:lineRule="auto"/>
              <w:jc w:val="center"/>
              <w:rPr>
                <w:rFonts w:ascii="Times New Roman" w:eastAsia="Times New Roman" w:hAnsi="Times New Roman" w:cs="Times New Roman"/>
                <w:sz w:val="24"/>
                <w:szCs w:val="24"/>
              </w:rPr>
            </w:pPr>
            <w:r w:rsidRPr="004071BE">
              <w:rPr>
                <w:rFonts w:ascii="Times New Roman" w:eastAsia="Times New Roman" w:hAnsi="Times New Roman" w:cs="Times New Roman"/>
                <w:sz w:val="24"/>
                <w:szCs w:val="24"/>
              </w:rPr>
              <w:t xml:space="preserve">35 </w:t>
            </w:r>
          </w:p>
        </w:tc>
      </w:tr>
    </w:tbl>
    <w:p w:rsidR="00086161" w:rsidRDefault="00086161" w:rsidP="00086161">
      <w:pPr>
        <w:spacing w:line="240" w:lineRule="auto"/>
        <w:jc w:val="center"/>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Estos incrementos en la garantía del derecho a la educación son muy significativos cuando se compara con algunos países selecciones de relevancia.</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center"/>
        <w:rPr>
          <w:noProof/>
        </w:rPr>
      </w:pPr>
      <w:r w:rsidRPr="00232E30">
        <w:rPr>
          <w:noProof/>
          <w:lang w:eastAsia="es-EC"/>
        </w:rPr>
        <w:drawing>
          <wp:inline distT="0" distB="0" distL="0" distR="0">
            <wp:extent cx="5136515" cy="2654935"/>
            <wp:effectExtent l="0" t="0" r="6985" b="1206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86161" w:rsidRDefault="00086161" w:rsidP="00086161">
      <w:pPr>
        <w:spacing w:line="240" w:lineRule="auto"/>
        <w:jc w:val="center"/>
        <w:rPr>
          <w:rFonts w:ascii="Times New Roman" w:hAnsi="Times New Roman" w:cs="Times New Roman"/>
          <w:sz w:val="24"/>
          <w:szCs w:val="24"/>
        </w:rPr>
      </w:pPr>
      <w:r w:rsidRPr="00FC18D8">
        <w:rPr>
          <w:rFonts w:ascii="Times New Roman" w:hAnsi="Times New Roman" w:cs="Times New Roman"/>
          <w:sz w:val="24"/>
          <w:szCs w:val="24"/>
        </w:rPr>
        <w:lastRenderedPageBreak/>
        <w:t>Gráfico 62</w:t>
      </w:r>
      <w:r>
        <w:rPr>
          <w:rFonts w:ascii="Times New Roman" w:hAnsi="Times New Roman" w:cs="Times New Roman"/>
          <w:sz w:val="24"/>
          <w:szCs w:val="24"/>
        </w:rPr>
        <w:t xml:space="preserve">. Educación primaria. Países seleccionados, variación en el ranking del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Competitiveness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Report</w:t>
      </w:r>
      <w:proofErr w:type="spellEnd"/>
      <w:r>
        <w:rPr>
          <w:rFonts w:ascii="Times New Roman" w:hAnsi="Times New Roman" w:cs="Times New Roman"/>
          <w:sz w:val="24"/>
          <w:szCs w:val="24"/>
        </w:rPr>
        <w:t>, entre 2006 y 2016, Foro Económico Mundial. Elaboración propia.</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De los países considerados, solo Canadá y Finlandia, liderados por Ecuador, han mejorado la garantía del derecho a la educación primaria. Argentina, Brasil, Chile, Colombia, Perú, México, Estados Unidos, Reino Unido y España han empeorado.</w:t>
      </w:r>
    </w:p>
    <w:p w:rsidR="00086161" w:rsidRDefault="00086161" w:rsidP="00086161">
      <w:pPr>
        <w:spacing w:line="240" w:lineRule="auto"/>
        <w:jc w:val="center"/>
        <w:rPr>
          <w:noProof/>
        </w:rPr>
      </w:pPr>
      <w:r w:rsidRPr="00232E30">
        <w:rPr>
          <w:noProof/>
          <w:lang w:eastAsia="es-EC"/>
        </w:rPr>
        <w:drawing>
          <wp:inline distT="0" distB="0" distL="0" distR="0">
            <wp:extent cx="5144135" cy="2894965"/>
            <wp:effectExtent l="0" t="0" r="18415" b="63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86161" w:rsidRDefault="00086161" w:rsidP="00086161">
      <w:pPr>
        <w:spacing w:line="240" w:lineRule="auto"/>
        <w:jc w:val="center"/>
        <w:rPr>
          <w:rFonts w:ascii="Times New Roman" w:hAnsi="Times New Roman" w:cs="Times New Roman"/>
          <w:sz w:val="24"/>
          <w:szCs w:val="24"/>
        </w:rPr>
      </w:pPr>
      <w:r w:rsidRPr="00FC18D8">
        <w:rPr>
          <w:rFonts w:ascii="Times New Roman" w:hAnsi="Times New Roman" w:cs="Times New Roman"/>
          <w:sz w:val="24"/>
          <w:szCs w:val="24"/>
        </w:rPr>
        <w:t>Gráfico 6</w:t>
      </w:r>
      <w:r>
        <w:rPr>
          <w:rFonts w:ascii="Times New Roman" w:hAnsi="Times New Roman" w:cs="Times New Roman"/>
          <w:sz w:val="24"/>
          <w:szCs w:val="24"/>
        </w:rPr>
        <w:t xml:space="preserve">3. Cantidad de la Educación. Países seleccionados, variación en el ranking del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Competitiveness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Report</w:t>
      </w:r>
      <w:proofErr w:type="spellEnd"/>
      <w:r>
        <w:rPr>
          <w:rFonts w:ascii="Times New Roman" w:hAnsi="Times New Roman" w:cs="Times New Roman"/>
          <w:sz w:val="24"/>
          <w:szCs w:val="24"/>
        </w:rPr>
        <w:t>, entre 2006 y 2016, Foro Económico Mundial. Elaboración propia.</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 los países considerados, Ecuador lidera de largo el aumento en la cantidad de garantía del derecho a la educación para sus personas. Sube más del doble que el siguiente país que eleva la cantidad de garantía, Colombia. </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center"/>
        <w:rPr>
          <w:noProof/>
        </w:rPr>
      </w:pPr>
      <w:r w:rsidRPr="00232E30">
        <w:rPr>
          <w:noProof/>
          <w:lang w:eastAsia="es-EC"/>
        </w:rPr>
        <w:lastRenderedPageBreak/>
        <w:drawing>
          <wp:inline distT="0" distB="0" distL="0" distR="0">
            <wp:extent cx="5177155" cy="3512185"/>
            <wp:effectExtent l="0" t="0" r="4445" b="12065"/>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6161" w:rsidRDefault="00086161" w:rsidP="00086161">
      <w:pPr>
        <w:spacing w:line="240" w:lineRule="auto"/>
        <w:jc w:val="center"/>
        <w:rPr>
          <w:rFonts w:ascii="Times New Roman" w:hAnsi="Times New Roman" w:cs="Times New Roman"/>
          <w:sz w:val="24"/>
          <w:szCs w:val="24"/>
        </w:rPr>
      </w:pPr>
      <w:r w:rsidRPr="00FC18D8">
        <w:rPr>
          <w:rFonts w:ascii="Times New Roman" w:hAnsi="Times New Roman" w:cs="Times New Roman"/>
          <w:sz w:val="24"/>
          <w:szCs w:val="24"/>
        </w:rPr>
        <w:t>Gráfico 6</w:t>
      </w:r>
      <w:r>
        <w:rPr>
          <w:rFonts w:ascii="Times New Roman" w:hAnsi="Times New Roman" w:cs="Times New Roman"/>
          <w:sz w:val="24"/>
          <w:szCs w:val="24"/>
        </w:rPr>
        <w:t xml:space="preserve">4. Calidad de la Educación. Países seleccionados, variación en el ranking del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Competitiveness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Report</w:t>
      </w:r>
      <w:proofErr w:type="spellEnd"/>
      <w:r>
        <w:rPr>
          <w:rFonts w:ascii="Times New Roman" w:hAnsi="Times New Roman" w:cs="Times New Roman"/>
          <w:sz w:val="24"/>
          <w:szCs w:val="24"/>
        </w:rPr>
        <w:t>, entre 2006 y 2016, Foro Económico Mundial. Elaboración propia.</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De todos los países seleccionados, Ecuador es el único que eleva la calidad de la garantía del derecho a la educación y lo hace sustancialmente, ascendiendo 27 puestos. Argentina, Brasil, Chile, Colombia, Perú, México, Bélgica, Canadá, Finlandia, España y Estados Unidos descienden en su calidad comparada.</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Igualmente, como vemos en el siguiente gráfico del Ministerio de Educación, el rendimiento en las pruebas de la UNESCO en su Segundo (SERCE) y Tercer Estudios Regionales Comparativos y Explicativos (TERCE), muestran un incremento significativo en el conocimiento de Matemáticas y Ciencias Naturales. “Ecuador pasó de las últimas posiciones en SERCE, en 2008, a muy cerca del puntaje medio, en TERCE (2014). Fue el segundo país de la región que más mejoró en lectura de tercer grado (56 puntos, mientras que el promedio de países aumentó 18 puntos), el cuarto país que más mejoró en matemáticas de cuarto grado (51 puntos, frente al promedio regional de 31 puntos), y el segundo país que más mejoró en matemáticas de séptimo grado (53 puntos, frente al promedio regional de 19 puntos)” (Observatorio de Evaluación y Prospectiva en Educación de la Universidad Nacional de Educación, 2016).</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600575" cy="1960245"/>
            <wp:effectExtent l="0" t="0" r="9525" b="1905"/>
            <wp:docPr id="4" name="Imagen 4" descr="Puntaje obtenido en SERCE y T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ntaje obtenido en SERCE y TE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1960245"/>
                    </a:xfrm>
                    <a:prstGeom prst="rect">
                      <a:avLst/>
                    </a:prstGeom>
                    <a:noFill/>
                    <a:ln>
                      <a:noFill/>
                    </a:ln>
                  </pic:spPr>
                </pic:pic>
              </a:graphicData>
            </a:graphic>
          </wp:inline>
        </w:drawing>
      </w:r>
    </w:p>
    <w:p w:rsidR="00086161" w:rsidRDefault="00086161" w:rsidP="00086161">
      <w:pPr>
        <w:spacing w:line="240" w:lineRule="auto"/>
        <w:jc w:val="center"/>
        <w:rPr>
          <w:rFonts w:ascii="Times New Roman" w:hAnsi="Times New Roman" w:cs="Times New Roman"/>
          <w:sz w:val="24"/>
          <w:szCs w:val="24"/>
        </w:rPr>
      </w:pPr>
    </w:p>
    <w:p w:rsidR="00086161" w:rsidRDefault="00086161" w:rsidP="00086161">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65. Puntaje obtenido en SERCE y TERCE. Fuente: UNESCO – LLECE. Elaborado: Ministerio de Educación.</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ind w:left="720" w:hanging="360"/>
        <w:jc w:val="both"/>
        <w:rPr>
          <w:rFonts w:ascii="Times New Roman" w:hAnsi="Times New Roman" w:cs="Times New Roman"/>
          <w:sz w:val="24"/>
          <w:szCs w:val="24"/>
        </w:rPr>
      </w:pPr>
    </w:p>
    <w:p w:rsidR="00086161" w:rsidRPr="009342ED"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Sin embargo, la capacitación es insuficiente para realizar el cambio hacia docentes de alto nivel y mucho menos para que provean los pilares de talento humano para el cambio cualitativo global de la educación para la ciudadanía en la democracia del Buen Vivir. </w:t>
      </w:r>
      <w:r w:rsidRPr="009342ED">
        <w:rPr>
          <w:rFonts w:ascii="Times New Roman" w:hAnsi="Times New Roman" w:cs="Times New Roman"/>
          <w:sz w:val="24"/>
          <w:szCs w:val="24"/>
        </w:rPr>
        <w:t xml:space="preserve">Para responder al desafío de mejorar el talento humano de los profesores, se viene implementando un plan de selección, ampliación y mejoramiento del talento humano, tanto evaluando y depurando profesores, así como brindándoles oportunidades de capacitación y formación, </w:t>
      </w:r>
      <w:proofErr w:type="spellStart"/>
      <w:r w:rsidRPr="009342ED">
        <w:rPr>
          <w:rFonts w:ascii="Times New Roman" w:hAnsi="Times New Roman" w:cs="Times New Roman"/>
          <w:sz w:val="24"/>
          <w:szCs w:val="24"/>
        </w:rPr>
        <w:t>recategorización</w:t>
      </w:r>
      <w:proofErr w:type="spellEnd"/>
      <w:r w:rsidRPr="009342ED">
        <w:rPr>
          <w:rFonts w:ascii="Times New Roman" w:hAnsi="Times New Roman" w:cs="Times New Roman"/>
          <w:sz w:val="24"/>
          <w:szCs w:val="24"/>
        </w:rPr>
        <w:t xml:space="preserve"> y mejorando sustancialmente su salario. Al 2015, se ha brindado aproximadamente 33 millones y medio de horas de capacitación docente y 4</w:t>
      </w:r>
      <w:r>
        <w:rPr>
          <w:rFonts w:ascii="Times New Roman" w:hAnsi="Times New Roman" w:cs="Times New Roman"/>
          <w:sz w:val="24"/>
          <w:szCs w:val="24"/>
        </w:rPr>
        <w:t>,</w:t>
      </w:r>
      <w:r w:rsidRPr="009342ED">
        <w:rPr>
          <w:rFonts w:ascii="Times New Roman" w:hAnsi="Times New Roman" w:cs="Times New Roman"/>
          <w:sz w:val="24"/>
          <w:szCs w:val="24"/>
        </w:rPr>
        <w:t>202 becas internacionales para estudios de posgrado para docentes del país (</w:t>
      </w:r>
      <w:r>
        <w:rPr>
          <w:rFonts w:ascii="Times New Roman" w:hAnsi="Times New Roman" w:cs="Times New Roman"/>
          <w:sz w:val="24"/>
          <w:szCs w:val="24"/>
        </w:rPr>
        <w:t>Ministerio de Educación,</w:t>
      </w:r>
      <w:r w:rsidRPr="009342ED">
        <w:rPr>
          <w:rFonts w:ascii="Times New Roman" w:hAnsi="Times New Roman" w:cs="Times New Roman"/>
          <w:sz w:val="24"/>
          <w:szCs w:val="24"/>
        </w:rPr>
        <w:t xml:space="preserve"> 2015: 26). Al mismo tiempo se ha creado a la Universidad Nacional de Educación (UNAE) con la misión de “Contribuir a la formación de talento humano del sistema educativo para la construcción de una sociedad justa, equitativa, libre y democrática, generando modelos educativos de excelencia, caracterizados por rigor científico, enfoque de derechos y de interculturalidad” (UNAE</w:t>
      </w:r>
      <w:r>
        <w:rPr>
          <w:rFonts w:ascii="Times New Roman" w:hAnsi="Times New Roman" w:cs="Times New Roman"/>
          <w:sz w:val="24"/>
          <w:szCs w:val="24"/>
        </w:rPr>
        <w:t>,</w:t>
      </w:r>
      <w:r w:rsidRPr="009342ED">
        <w:rPr>
          <w:rFonts w:ascii="Times New Roman" w:hAnsi="Times New Roman" w:cs="Times New Roman"/>
          <w:sz w:val="24"/>
          <w:szCs w:val="24"/>
        </w:rPr>
        <w:t xml:space="preserve"> 2016). Con año y medio de existencia, 900 estudiantes matriculados y la construcción de la primera fase de la universidad, la UNAE crece rápidamente para cumplir su misión (2016). Sobre ello, </w:t>
      </w:r>
      <w:proofErr w:type="spellStart"/>
      <w:r w:rsidRPr="009342ED">
        <w:rPr>
          <w:rFonts w:ascii="Times New Roman" w:hAnsi="Times New Roman" w:cs="Times New Roman"/>
          <w:sz w:val="24"/>
          <w:szCs w:val="24"/>
        </w:rPr>
        <w:t>Bruns</w:t>
      </w:r>
      <w:proofErr w:type="spellEnd"/>
      <w:r w:rsidRPr="009342ED">
        <w:rPr>
          <w:rFonts w:ascii="Times New Roman" w:hAnsi="Times New Roman" w:cs="Times New Roman"/>
          <w:sz w:val="24"/>
          <w:szCs w:val="24"/>
        </w:rPr>
        <w:t xml:space="preserve"> y Luque pronosticaban lo siguiente:</w:t>
      </w:r>
    </w:p>
    <w:p w:rsidR="00086161" w:rsidRPr="009342ED" w:rsidRDefault="00086161" w:rsidP="00086161">
      <w:pPr>
        <w:spacing w:line="240" w:lineRule="auto"/>
        <w:jc w:val="both"/>
        <w:rPr>
          <w:rFonts w:ascii="Times New Roman" w:hAnsi="Times New Roman" w:cs="Times New Roman"/>
          <w:sz w:val="24"/>
          <w:szCs w:val="24"/>
        </w:rPr>
      </w:pPr>
    </w:p>
    <w:p w:rsidR="00086161" w:rsidRPr="009342ED" w:rsidRDefault="00086161" w:rsidP="00086161">
      <w:pPr>
        <w:spacing w:line="240" w:lineRule="auto"/>
        <w:ind w:left="720" w:right="900"/>
        <w:jc w:val="both"/>
        <w:rPr>
          <w:rFonts w:ascii="Times New Roman" w:hAnsi="Times New Roman" w:cs="Times New Roman"/>
          <w:sz w:val="24"/>
          <w:szCs w:val="24"/>
        </w:rPr>
      </w:pPr>
      <w:r w:rsidRPr="009342ED">
        <w:rPr>
          <w:rFonts w:ascii="Times New Roman" w:hAnsi="Times New Roman" w:cs="Times New Roman"/>
          <w:sz w:val="24"/>
          <w:szCs w:val="24"/>
        </w:rPr>
        <w:t xml:space="preserve">Ecuador ha actuado con igual agresividad procurando elevar la calidad de la educación docente. En 2012 cerró 14 institutos de formación de baja calidad y está creando la Universidad Nacional de Educación (UNAE), una institución de alto nivel dependiente del Ministerio de Educación. Los investigadores han detectado que la presencia de un “acoplamiento estrecho” entre el ministerio de educación y las instituciones en las que se forman los profesores constituye un factor importante en el éxito educativo de países tan diversos como Singapur y Cuba. Este “acoplamiento estrecho” garantiza la coordinación de la formación docente con los objetivos de las políticas educativas nacionales, por ejemplo, mayor selectividad en el ingreso y mayor énfasis en la enseñanza de matemáticas, el pensamiento crítico y las </w:t>
      </w:r>
      <w:r w:rsidRPr="009342ED">
        <w:rPr>
          <w:rFonts w:ascii="Times New Roman" w:hAnsi="Times New Roman" w:cs="Times New Roman"/>
          <w:sz w:val="24"/>
          <w:szCs w:val="24"/>
        </w:rPr>
        <w:lastRenderedPageBreak/>
        <w:t>capacidades vinculadas con las tecnologías de la información propias del siglo XXI. La UNAE preparará a los profesores para que dicten un nuevo plan de estudio nacional que se está elaborando actualmente en consulta con partes interesadas y expertos nacionales e internacionales. Otra idea central es que la UNAE se convertirá en el nexo entre los funcionarios nacionales del área y otras instituciones de formación docente, que con el tiempo incluirán profesores altamente calificados formados en la UNAE (</w:t>
      </w:r>
      <w:proofErr w:type="spellStart"/>
      <w:r w:rsidRPr="009342ED">
        <w:rPr>
          <w:rFonts w:ascii="Times New Roman" w:hAnsi="Times New Roman" w:cs="Times New Roman"/>
          <w:sz w:val="24"/>
          <w:szCs w:val="24"/>
        </w:rPr>
        <w:t>Bruns</w:t>
      </w:r>
      <w:proofErr w:type="spellEnd"/>
      <w:r w:rsidRPr="009342ED">
        <w:rPr>
          <w:rFonts w:ascii="Times New Roman" w:hAnsi="Times New Roman" w:cs="Times New Roman"/>
          <w:sz w:val="24"/>
          <w:szCs w:val="24"/>
        </w:rPr>
        <w:t xml:space="preserve"> y Luque, 2014: 25-6).</w:t>
      </w:r>
    </w:p>
    <w:p w:rsidR="00086161" w:rsidRPr="009342ED" w:rsidRDefault="00086161" w:rsidP="00086161">
      <w:pPr>
        <w:spacing w:line="240" w:lineRule="auto"/>
        <w:ind w:left="720" w:right="900"/>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UNAE es una de las cuatro universidades de alto nivel y perspectivas, junto a IKIAM, YACHAY </w:t>
      </w:r>
      <w:proofErr w:type="spellStart"/>
      <w:r>
        <w:rPr>
          <w:rFonts w:ascii="Times New Roman" w:hAnsi="Times New Roman" w:cs="Times New Roman"/>
          <w:sz w:val="24"/>
          <w:szCs w:val="24"/>
        </w:rPr>
        <w:t>Tech</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UniArtes</w:t>
      </w:r>
      <w:proofErr w:type="spellEnd"/>
      <w:r>
        <w:rPr>
          <w:rFonts w:ascii="Times New Roman" w:hAnsi="Times New Roman" w:cs="Times New Roman"/>
          <w:sz w:val="24"/>
          <w:szCs w:val="24"/>
        </w:rPr>
        <w:t xml:space="preserve">, que se han creado en los últimos dos años de la década de la Revolución Ciudadana para apuntalar las necesidades educativas del país, concebidas como derecho humano, pago de deuda social y cambio de matriz productiva y distributiva, para crear la democracia del Buen Vivir. </w:t>
      </w:r>
      <w:r w:rsidRPr="009342ED">
        <w:rPr>
          <w:rFonts w:ascii="Times New Roman" w:hAnsi="Times New Roman" w:cs="Times New Roman"/>
          <w:sz w:val="24"/>
          <w:szCs w:val="24"/>
        </w:rPr>
        <w:t>Como toda matrícula de las universidades públicas en Ecuador, la matrícula de la UNAE no tiene costo para el alumno y se selecciona basa</w:t>
      </w:r>
      <w:r>
        <w:rPr>
          <w:rFonts w:ascii="Times New Roman" w:hAnsi="Times New Roman" w:cs="Times New Roman"/>
          <w:sz w:val="24"/>
          <w:szCs w:val="24"/>
        </w:rPr>
        <w:t>do en mérito expresado en el Exa</w:t>
      </w:r>
      <w:r w:rsidRPr="009342ED">
        <w:rPr>
          <w:rFonts w:ascii="Times New Roman" w:hAnsi="Times New Roman" w:cs="Times New Roman"/>
          <w:sz w:val="24"/>
          <w:szCs w:val="24"/>
        </w:rPr>
        <w:t>men Nacional. Para entrar a la UNAE los estudiantes deben obtener mínimo 800 puntos. Los estudiantes pueden obtener becas de estipendios para sus gastos</w:t>
      </w:r>
      <w:r>
        <w:rPr>
          <w:rFonts w:ascii="Times New Roman" w:hAnsi="Times New Roman" w:cs="Times New Roman"/>
          <w:sz w:val="24"/>
          <w:szCs w:val="24"/>
        </w:rPr>
        <w:t>. Con año y medio  de existencia al finalizar el 2016, la UNAE ha realizado 107 publicaciones y tiene 86 docentes casi todos con PhD para sus estudiantes, dentro de una tendencia de rápida expansión (UNAE 2016). En el Sistema Nacional de Educación, al</w:t>
      </w:r>
      <w:r w:rsidRPr="009342ED">
        <w:rPr>
          <w:rFonts w:ascii="Times New Roman" w:hAnsi="Times New Roman" w:cs="Times New Roman"/>
          <w:sz w:val="24"/>
          <w:szCs w:val="24"/>
        </w:rPr>
        <w:t xml:space="preserve"> mismo tiempo que la carrera docente se ha vuelto más selectiva y se ha fortalecido su formación de talento humano, se ha triplicado el sueldo de los docentes (Plan Decenal de Educación</w:t>
      </w:r>
      <w:r>
        <w:rPr>
          <w:rFonts w:ascii="Times New Roman" w:hAnsi="Times New Roman" w:cs="Times New Roman"/>
          <w:sz w:val="24"/>
          <w:szCs w:val="24"/>
        </w:rPr>
        <w:t xml:space="preserve">, 2016-2015). Dichas universidades se insertan en el Sistema de Educación Superior, el cual exploraremos a continuación. </w:t>
      </w: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p>
    <w:p w:rsidR="00086161" w:rsidRDefault="00086161" w:rsidP="00086161">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086161" w:rsidRPr="0030277C" w:rsidRDefault="00086161" w:rsidP="00086161">
      <w:pPr>
        <w:numPr>
          <w:ilvl w:val="0"/>
          <w:numId w:val="1"/>
        </w:numPr>
        <w:spacing w:after="0" w:line="240" w:lineRule="auto"/>
        <w:jc w:val="both"/>
        <w:rPr>
          <w:rFonts w:ascii="Times New Roman" w:hAnsi="Times New Roman" w:cs="Times New Roman"/>
          <w:b/>
          <w:sz w:val="32"/>
          <w:szCs w:val="32"/>
        </w:rPr>
      </w:pPr>
      <w:r w:rsidRPr="00561E1A">
        <w:rPr>
          <w:rFonts w:ascii="Times New Roman" w:hAnsi="Times New Roman" w:cs="Times New Roman"/>
          <w:b/>
          <w:sz w:val="32"/>
          <w:szCs w:val="32"/>
        </w:rPr>
        <w:lastRenderedPageBreak/>
        <w:t>El derecho a la educación en el Sistema de Educación Superior</w:t>
      </w:r>
    </w:p>
    <w:p w:rsidR="00086161" w:rsidRDefault="00086161" w:rsidP="00086161">
      <w:pPr>
        <w:tabs>
          <w:tab w:val="left" w:pos="4111"/>
        </w:tabs>
        <w:spacing w:line="240" w:lineRule="auto"/>
        <w:rPr>
          <w:rFonts w:ascii="Times New Roman" w:hAnsi="Times New Roman" w:cs="Times New Roman"/>
          <w:b/>
          <w:sz w:val="32"/>
          <w:szCs w:val="32"/>
        </w:rPr>
      </w:pPr>
    </w:p>
    <w:p w:rsidR="00086161" w:rsidRPr="009342ED" w:rsidRDefault="00086161" w:rsidP="00086161">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De acuerdo a la Constitución y la Ley Orgánica de Educación Superior, el Estado tiene la obligación de garantizar el derecho a la educación superior con excelencia y sin discriminación alguna, promoviendo la igualdad de oportunidades, en función de los “méritos respectivos, a fin de acceder a una formación académica y profesional con producción de conocimiento pertinente y de excelencia. Las ciudadanas y los ciudadanos en forma individual y colectiva, las comunidades, pueblos y nacionalidades tienen el derecho y la responsabilidad de participar en el proceso educativo superior” (LOES, Art. 2-4). </w:t>
      </w:r>
      <w:r>
        <w:rPr>
          <w:rFonts w:ascii="Times New Roman" w:hAnsi="Times New Roman" w:cs="Times New Roman"/>
          <w:sz w:val="24"/>
          <w:szCs w:val="24"/>
        </w:rPr>
        <w:t>Comparando el 2015 con el 2006, reconociendo la importancia del derecho a la educación superior, el Estado ha multiplicado por 2.8 las asignaciones presupuestarias para las universidades y escuelas politécnicas, en términos proporcionales al PIB, y ha multiplicado las asignaciones por 6.4 en términos absolutos.</w:t>
      </w:r>
    </w:p>
    <w:p w:rsidR="00086161" w:rsidRDefault="00086161" w:rsidP="00086161">
      <w:pPr>
        <w:tabs>
          <w:tab w:val="left" w:pos="4111"/>
        </w:tabs>
        <w:spacing w:line="240" w:lineRule="auto"/>
        <w:rPr>
          <w:rFonts w:ascii="Times New Roman" w:hAnsi="Times New Roman" w:cs="Times New Roman"/>
          <w:b/>
          <w:sz w:val="32"/>
          <w:szCs w:val="32"/>
        </w:rPr>
      </w:pPr>
    </w:p>
    <w:p w:rsidR="00086161" w:rsidRPr="004B642B" w:rsidRDefault="00086161" w:rsidP="00086161">
      <w:pPr>
        <w:tabs>
          <w:tab w:val="left" w:pos="4111"/>
        </w:tabs>
        <w:spacing w:line="240" w:lineRule="auto"/>
        <w:rPr>
          <w:rFonts w:ascii="Times New Roman" w:hAnsi="Times New Roman" w:cs="Times New Roman"/>
          <w:b/>
          <w:sz w:val="32"/>
          <w:szCs w:val="32"/>
        </w:rPr>
      </w:pPr>
    </w:p>
    <w:p w:rsidR="00086161" w:rsidRPr="009342ED" w:rsidRDefault="00086161" w:rsidP="00086161">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588510" cy="2472690"/>
            <wp:effectExtent l="0" t="0" r="254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510" cy="2472690"/>
                    </a:xfrm>
                    <a:prstGeom prst="rect">
                      <a:avLst/>
                    </a:prstGeom>
                    <a:noFill/>
                    <a:ln>
                      <a:noFill/>
                    </a:ln>
                  </pic:spPr>
                </pic:pic>
              </a:graphicData>
            </a:graphic>
          </wp:inline>
        </w:drawing>
      </w:r>
    </w:p>
    <w:p w:rsidR="00086161" w:rsidRDefault="00086161" w:rsidP="00086161">
      <w:pPr>
        <w:tabs>
          <w:tab w:val="left" w:pos="4111"/>
        </w:tabs>
        <w:spacing w:line="240" w:lineRule="auto"/>
        <w:jc w:val="center"/>
        <w:rPr>
          <w:rFonts w:ascii="Times New Roman" w:hAnsi="Times New Roman" w:cs="Times New Roman"/>
          <w:sz w:val="24"/>
          <w:szCs w:val="24"/>
        </w:rPr>
      </w:pPr>
    </w:p>
    <w:p w:rsidR="00086161" w:rsidRPr="009342ED" w:rsidRDefault="00086161" w:rsidP="00086161">
      <w:pPr>
        <w:tabs>
          <w:tab w:val="left" w:pos="4111"/>
        </w:tabs>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66</w:t>
      </w:r>
      <w:r w:rsidRPr="009342ED">
        <w:rPr>
          <w:rFonts w:ascii="Times New Roman" w:hAnsi="Times New Roman" w:cs="Times New Roman"/>
          <w:sz w:val="24"/>
          <w:szCs w:val="24"/>
        </w:rPr>
        <w:t>. Asignaciones pagadas a las universidades y escuelas politécnicas que reciben rentas y asignaciones del Estado y saldos en bancos. PIB Banco Central del Ecuador.</w:t>
      </w:r>
      <w:r>
        <w:rPr>
          <w:rFonts w:ascii="Times New Roman" w:hAnsi="Times New Roman" w:cs="Times New Roman"/>
          <w:sz w:val="24"/>
          <w:szCs w:val="24"/>
        </w:rPr>
        <w:t xml:space="preserve"> </w:t>
      </w:r>
      <w:r w:rsidRPr="009342ED">
        <w:rPr>
          <w:rFonts w:ascii="Times New Roman" w:hAnsi="Times New Roman" w:cs="Times New Roman"/>
          <w:sz w:val="24"/>
          <w:szCs w:val="24"/>
        </w:rPr>
        <w:t>Fuente: Gasto Público en E</w:t>
      </w:r>
      <w:r>
        <w:rPr>
          <w:rFonts w:ascii="Times New Roman" w:hAnsi="Times New Roman" w:cs="Times New Roman"/>
          <w:sz w:val="24"/>
          <w:szCs w:val="24"/>
        </w:rPr>
        <w:t xml:space="preserve">ducación </w:t>
      </w:r>
      <w:r w:rsidRPr="009342ED">
        <w:rPr>
          <w:rFonts w:ascii="Times New Roman" w:hAnsi="Times New Roman" w:cs="Times New Roman"/>
          <w:sz w:val="24"/>
          <w:szCs w:val="24"/>
        </w:rPr>
        <w:t>S</w:t>
      </w:r>
      <w:r>
        <w:rPr>
          <w:rFonts w:ascii="Times New Roman" w:hAnsi="Times New Roman" w:cs="Times New Roman"/>
          <w:sz w:val="24"/>
          <w:szCs w:val="24"/>
        </w:rPr>
        <w:t>uperior</w:t>
      </w:r>
      <w:r w:rsidRPr="009342ED">
        <w:rPr>
          <w:rFonts w:ascii="Times New Roman" w:hAnsi="Times New Roman" w:cs="Times New Roman"/>
          <w:sz w:val="24"/>
          <w:szCs w:val="24"/>
        </w:rPr>
        <w:t xml:space="preserve"> del CONESUP 2001-2008 y del Ministerio de Finanzas Asignación Inicial PGE. Elaborado: S</w:t>
      </w:r>
      <w:r>
        <w:rPr>
          <w:rFonts w:ascii="Times New Roman" w:hAnsi="Times New Roman" w:cs="Times New Roman"/>
          <w:sz w:val="24"/>
          <w:szCs w:val="24"/>
        </w:rPr>
        <w:t>ENESCYT</w:t>
      </w:r>
      <w:r w:rsidRPr="009342ED">
        <w:rPr>
          <w:rFonts w:ascii="Times New Roman" w:hAnsi="Times New Roman" w:cs="Times New Roman"/>
          <w:sz w:val="24"/>
          <w:szCs w:val="24"/>
        </w:rPr>
        <w:t>.</w:t>
      </w:r>
    </w:p>
    <w:p w:rsidR="00086161" w:rsidRDefault="00086161" w:rsidP="00086161">
      <w:pPr>
        <w:tabs>
          <w:tab w:val="left" w:pos="4111"/>
        </w:tabs>
        <w:spacing w:line="240" w:lineRule="auto"/>
        <w:jc w:val="both"/>
        <w:rPr>
          <w:rFonts w:ascii="Times New Roman" w:hAnsi="Times New Roman" w:cs="Times New Roman"/>
          <w:sz w:val="24"/>
          <w:szCs w:val="24"/>
        </w:rPr>
      </w:pPr>
    </w:p>
    <w:p w:rsidR="00BF442D" w:rsidRDefault="00BF442D" w:rsidP="00086161">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82BD9"/>
    <w:multiLevelType w:val="hybridMultilevel"/>
    <w:tmpl w:val="BBDA2D4A"/>
    <w:lvl w:ilvl="0" w:tplc="FC0CE706">
      <w:start w:val="1"/>
      <w:numFmt w:val="decimal"/>
      <w:lvlText w:val="%1."/>
      <w:lvlJc w:val="left"/>
      <w:pPr>
        <w:ind w:left="720" w:hanging="360"/>
      </w:pPr>
      <w:rPr>
        <w:rFonts w:hint="default"/>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086161"/>
    <w:rsid w:val="00655A68"/>
    <w:rsid w:val="00691D32"/>
    <w:rsid w:val="006C6F94"/>
    <w:rsid w:val="009A34A0"/>
    <w:rsid w:val="00A606C2"/>
    <w:rsid w:val="00B33AD2"/>
    <w:rsid w:val="00BF442D"/>
    <w:rsid w:val="00C4179C"/>
    <w:rsid w:val="00CB4C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png"/><Relationship Id="rId5" Type="http://schemas.openxmlformats.org/officeDocument/2006/relationships/image" Target="media/image1.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TAR%20WARS\Documents\My%20research\Educaci&#243;n%20RC\Final\Ranking%20World%20Competitiveness%20Report.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AR%20WARS\Documents\My%20research\Educaci&#243;n%20RC\Final\Ranking%20World%20Competitiveness%20Report.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TAR%20WARS\Documents\My%20research\Educaci&#243;n%20RC\Final\Ranking%20World%20Competitiveness%20Report.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bg1">
                <a:lumMod val="95000"/>
              </a:schemeClr>
            </a:solidFill>
            <a:ln>
              <a:solidFill>
                <a:schemeClr val="bg1">
                  <a:lumMod val="65000"/>
                </a:schemeClr>
              </a:solidFill>
            </a:ln>
            <a:effectLst/>
          </c:spPr>
          <c:invertIfNegative val="0"/>
          <c:dLbls>
            <c:dLbl>
              <c:idx val="4"/>
              <c:layout>
                <c:manualLayout>
                  <c:x val="0"/>
                  <c:y val="-3.70366724992709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0241415471777447E-16"/>
                  <c:y val="-0.2759057173378260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2900584795321637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0241415471777447E-16"/>
                  <c:y val="-3.730941809425989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'Educación primaria'!$A$4:$A$15</c:f>
              <c:strCache>
                <c:ptCount val="12"/>
                <c:pt idx="0">
                  <c:v>Ecuador</c:v>
                </c:pt>
                <c:pt idx="1">
                  <c:v>Argentina</c:v>
                </c:pt>
                <c:pt idx="2">
                  <c:v>Brasil</c:v>
                </c:pt>
                <c:pt idx="3">
                  <c:v>Chile</c:v>
                </c:pt>
                <c:pt idx="4">
                  <c:v>Colombia</c:v>
                </c:pt>
                <c:pt idx="5">
                  <c:v>Perú</c:v>
                </c:pt>
                <c:pt idx="6">
                  <c:v>México</c:v>
                </c:pt>
                <c:pt idx="7">
                  <c:v>Estados Unidos</c:v>
                </c:pt>
                <c:pt idx="8">
                  <c:v>Reino Unido</c:v>
                </c:pt>
                <c:pt idx="9">
                  <c:v>Canadá</c:v>
                </c:pt>
                <c:pt idx="10">
                  <c:v>Finlandia</c:v>
                </c:pt>
                <c:pt idx="11">
                  <c:v>España</c:v>
                </c:pt>
              </c:strCache>
            </c:strRef>
          </c:cat>
          <c:val>
            <c:numRef>
              <c:f>'Educación primaria'!$B$4:$B$15</c:f>
              <c:numCache>
                <c:formatCode>0_ ;\-0\ </c:formatCode>
                <c:ptCount val="12"/>
                <c:pt idx="0">
                  <c:v>18</c:v>
                </c:pt>
                <c:pt idx="1">
                  <c:v>-36</c:v>
                </c:pt>
                <c:pt idx="2">
                  <c:v>-78</c:v>
                </c:pt>
                <c:pt idx="3">
                  <c:v>-20</c:v>
                </c:pt>
                <c:pt idx="4">
                  <c:v>-24</c:v>
                </c:pt>
                <c:pt idx="5">
                  <c:v>-53</c:v>
                </c:pt>
                <c:pt idx="6">
                  <c:v>-67</c:v>
                </c:pt>
                <c:pt idx="7">
                  <c:v>-1</c:v>
                </c:pt>
                <c:pt idx="8">
                  <c:v>-1</c:v>
                </c:pt>
                <c:pt idx="9">
                  <c:v>6</c:v>
                </c:pt>
                <c:pt idx="10">
                  <c:v>9</c:v>
                </c:pt>
                <c:pt idx="11">
                  <c:v>-15</c:v>
                </c:pt>
              </c:numCache>
            </c:numRef>
          </c:val>
        </c:ser>
        <c:dLbls>
          <c:showLegendKey val="0"/>
          <c:showVal val="0"/>
          <c:showCatName val="0"/>
          <c:showSerName val="0"/>
          <c:showPercent val="0"/>
          <c:showBubbleSize val="0"/>
        </c:dLbls>
        <c:gapWidth val="112"/>
        <c:overlap val="-20"/>
        <c:axId val="-1551202048"/>
        <c:axId val="-1551200960"/>
      </c:barChart>
      <c:catAx>
        <c:axId val="-15512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51200960"/>
        <c:crosses val="autoZero"/>
        <c:auto val="1"/>
        <c:lblAlgn val="ctr"/>
        <c:lblOffset val="100"/>
        <c:noMultiLvlLbl val="0"/>
      </c:catAx>
      <c:valAx>
        <c:axId val="-1551200960"/>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512020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813244918488626E-2"/>
          <c:y val="7.3067660210721488E-2"/>
          <c:w val="0.90158056380738683"/>
          <c:h val="0.90262060023909185"/>
        </c:manualLayout>
      </c:layout>
      <c:barChart>
        <c:barDir val="col"/>
        <c:grouping val="clustered"/>
        <c:varyColors val="0"/>
        <c:ser>
          <c:idx val="0"/>
          <c:order val="0"/>
          <c:spPr>
            <a:solidFill>
              <a:schemeClr val="bg1">
                <a:lumMod val="95000"/>
              </a:schemeClr>
            </a:solidFill>
            <a:ln>
              <a:solidFill>
                <a:schemeClr val="bg1">
                  <a:lumMod val="65000"/>
                </a:schemeClr>
              </a:solidFill>
            </a:ln>
            <a:effectLst/>
          </c:spPr>
          <c:invertIfNegative val="0"/>
          <c:dLbls>
            <c:dLbl>
              <c:idx val="4"/>
              <c:layout>
                <c:manualLayout>
                  <c:x val="4.5381569916499472E-17"/>
                  <c:y val="-8.41003907026024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9.0763139832998944E-17"/>
                  <c:y val="-0.1504954359941307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0763139832998944E-17"/>
                  <c:y val="-3.54106908221484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8152627966599789E-16"/>
                  <c:y val="-9.737939976090813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'Cantidad de educación'!$A$4:$A$15</c:f>
              <c:strCache>
                <c:ptCount val="12"/>
                <c:pt idx="0">
                  <c:v>Ecuador</c:v>
                </c:pt>
                <c:pt idx="1">
                  <c:v>Argentina</c:v>
                </c:pt>
                <c:pt idx="2">
                  <c:v>Brasil</c:v>
                </c:pt>
                <c:pt idx="3">
                  <c:v>Colombia</c:v>
                </c:pt>
                <c:pt idx="4">
                  <c:v>Perú</c:v>
                </c:pt>
                <c:pt idx="5">
                  <c:v>Australia</c:v>
                </c:pt>
                <c:pt idx="6">
                  <c:v>Bélgica</c:v>
                </c:pt>
                <c:pt idx="7">
                  <c:v>Canadá</c:v>
                </c:pt>
                <c:pt idx="8">
                  <c:v>Alemania</c:v>
                </c:pt>
                <c:pt idx="9">
                  <c:v>México</c:v>
                </c:pt>
                <c:pt idx="10">
                  <c:v>Suiza</c:v>
                </c:pt>
                <c:pt idx="11">
                  <c:v>Reino Unido</c:v>
                </c:pt>
              </c:strCache>
            </c:strRef>
          </c:cat>
          <c:val>
            <c:numRef>
              <c:f>'Cantidad de educación'!$B$4:$B$15</c:f>
              <c:numCache>
                <c:formatCode>0_ ;\-0\ </c:formatCode>
                <c:ptCount val="12"/>
                <c:pt idx="0">
                  <c:v>35</c:v>
                </c:pt>
                <c:pt idx="1">
                  <c:v>13</c:v>
                </c:pt>
                <c:pt idx="2">
                  <c:v>1</c:v>
                </c:pt>
                <c:pt idx="3">
                  <c:v>16</c:v>
                </c:pt>
                <c:pt idx="4">
                  <c:v>-1</c:v>
                </c:pt>
                <c:pt idx="5">
                  <c:v>13</c:v>
                </c:pt>
                <c:pt idx="6">
                  <c:v>10</c:v>
                </c:pt>
                <c:pt idx="7">
                  <c:v>-21</c:v>
                </c:pt>
                <c:pt idx="8">
                  <c:v>-1</c:v>
                </c:pt>
                <c:pt idx="9">
                  <c:v>-10</c:v>
                </c:pt>
                <c:pt idx="10">
                  <c:v>-11</c:v>
                </c:pt>
                <c:pt idx="11">
                  <c:v>-30</c:v>
                </c:pt>
              </c:numCache>
            </c:numRef>
          </c:val>
        </c:ser>
        <c:dLbls>
          <c:showLegendKey val="0"/>
          <c:showVal val="0"/>
          <c:showCatName val="0"/>
          <c:showSerName val="0"/>
          <c:showPercent val="0"/>
          <c:showBubbleSize val="0"/>
        </c:dLbls>
        <c:gapWidth val="100"/>
        <c:overlap val="-27"/>
        <c:axId val="-1551200416"/>
        <c:axId val="-1551197152"/>
      </c:barChart>
      <c:catAx>
        <c:axId val="-15512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51197152"/>
        <c:crosses val="autoZero"/>
        <c:auto val="1"/>
        <c:lblAlgn val="ctr"/>
        <c:lblOffset val="100"/>
        <c:noMultiLvlLbl val="0"/>
      </c:catAx>
      <c:valAx>
        <c:axId val="-1551197152"/>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512004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bg1">
                <a:lumMod val="95000"/>
              </a:schemeClr>
            </a:solidFill>
            <a:ln>
              <a:solidFill>
                <a:schemeClr val="bg1">
                  <a:lumMod val="65000"/>
                </a:schemeClr>
              </a:solidFill>
            </a:ln>
            <a:effectLst/>
          </c:spPr>
          <c:invertIfNegative val="0"/>
          <c:dLbls>
            <c:dLbl>
              <c:idx val="7"/>
              <c:layout>
                <c:manualLayout>
                  <c:x val="-1.0185067526415994E-16"/>
                  <c:y val="-0.1481481481481480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0185067526415994E-16"/>
                  <c:y val="-0.12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20370370370370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20370333916593758"/>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'Calidad de la educación'!$A$4:$A$15</c:f>
              <c:strCache>
                <c:ptCount val="12"/>
                <c:pt idx="0">
                  <c:v>Ecuador</c:v>
                </c:pt>
                <c:pt idx="1">
                  <c:v>Argentina</c:v>
                </c:pt>
                <c:pt idx="2">
                  <c:v>Brasil</c:v>
                </c:pt>
                <c:pt idx="3">
                  <c:v>Chile</c:v>
                </c:pt>
                <c:pt idx="4">
                  <c:v>Colombia</c:v>
                </c:pt>
                <c:pt idx="5">
                  <c:v>Perú</c:v>
                </c:pt>
                <c:pt idx="6">
                  <c:v>México</c:v>
                </c:pt>
                <c:pt idx="7">
                  <c:v>Bélgica</c:v>
                </c:pt>
                <c:pt idx="8">
                  <c:v>Canadá</c:v>
                </c:pt>
                <c:pt idx="9">
                  <c:v>Finlandia</c:v>
                </c:pt>
                <c:pt idx="10">
                  <c:v>España</c:v>
                </c:pt>
                <c:pt idx="11">
                  <c:v>Estados Unidos</c:v>
                </c:pt>
              </c:strCache>
            </c:strRef>
          </c:cat>
          <c:val>
            <c:numRef>
              <c:f>'Calidad de la educación'!$B$4:$B$15</c:f>
              <c:numCache>
                <c:formatCode>0_ ;\-0\ </c:formatCode>
                <c:ptCount val="12"/>
                <c:pt idx="0">
                  <c:v>27</c:v>
                </c:pt>
                <c:pt idx="1">
                  <c:v>-21</c:v>
                </c:pt>
                <c:pt idx="2">
                  <c:v>-45</c:v>
                </c:pt>
                <c:pt idx="3">
                  <c:v>-20</c:v>
                </c:pt>
                <c:pt idx="4">
                  <c:v>-36</c:v>
                </c:pt>
                <c:pt idx="5">
                  <c:v>-29</c:v>
                </c:pt>
                <c:pt idx="6">
                  <c:v>-38</c:v>
                </c:pt>
                <c:pt idx="7">
                  <c:v>-1</c:v>
                </c:pt>
                <c:pt idx="8">
                  <c:v>-2</c:v>
                </c:pt>
                <c:pt idx="9">
                  <c:v>-2</c:v>
                </c:pt>
                <c:pt idx="10">
                  <c:v>-7</c:v>
                </c:pt>
                <c:pt idx="11">
                  <c:v>-4</c:v>
                </c:pt>
              </c:numCache>
            </c:numRef>
          </c:val>
        </c:ser>
        <c:dLbls>
          <c:showLegendKey val="0"/>
          <c:showVal val="0"/>
          <c:showCatName val="0"/>
          <c:showSerName val="0"/>
          <c:showPercent val="0"/>
          <c:showBubbleSize val="0"/>
        </c:dLbls>
        <c:gapWidth val="100"/>
        <c:overlap val="-27"/>
        <c:axId val="-1551196064"/>
        <c:axId val="-1551192800"/>
      </c:barChart>
      <c:catAx>
        <c:axId val="-155119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51192800"/>
        <c:crosses val="autoZero"/>
        <c:auto val="1"/>
        <c:lblAlgn val="ctr"/>
        <c:lblOffset val="100"/>
        <c:noMultiLvlLbl val="0"/>
      </c:catAx>
      <c:valAx>
        <c:axId val="-1551192800"/>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511960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Pages>
  <Words>1341</Words>
  <Characters>7381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2017-12-30T03:26:00Z</dcterms:created>
  <dcterms:modified xsi:type="dcterms:W3CDTF">2018-01-02T16:16:00Z</dcterms:modified>
</cp:coreProperties>
</file>