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D75970">
        <w:t>Riobamba</w:t>
      </w:r>
      <w:r>
        <w:t xml:space="preserve">, </w:t>
      </w:r>
      <w:r w:rsidR="00D75970">
        <w:t>23</w:t>
      </w:r>
      <w:r>
        <w:t xml:space="preserve"> de Marzo, 2017</w:t>
      </w:r>
    </w:p>
    <w:p w:rsidR="00492B24" w:rsidRPr="00492B24" w:rsidRDefault="00492B24">
      <w:pPr>
        <w:rPr>
          <w:b/>
          <w:u w:val="single"/>
        </w:rPr>
      </w:pPr>
      <w:r w:rsidRPr="00492B24">
        <w:rPr>
          <w:b/>
          <w:u w:val="single"/>
        </w:rPr>
        <w:t>Acceso y calidad a la educación</w:t>
      </w: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Casi mitad de la sust</w:t>
      </w:r>
      <w:bookmarkStart w:id="0" w:name="_GoBack"/>
      <w:bookmarkEnd w:id="0"/>
      <w:r>
        <w:rPr>
          <w:rFonts w:ascii="Times New Roman" w:hAnsi="Times New Roman" w:cs="Times New Roman"/>
          <w:sz w:val="24"/>
          <w:szCs w:val="24"/>
        </w:rPr>
        <w:t xml:space="preserve">ancial brecha que existía entre el Quintil 1 y el Quintil 5, por un lado, y entre adolescentes en área rural y urbana, </w:t>
      </w:r>
      <w:r w:rsidRPr="00492B24">
        <w:rPr>
          <w:rFonts w:ascii="Times New Roman" w:hAnsi="Times New Roman" w:cs="Times New Roman"/>
          <w:sz w:val="24"/>
          <w:szCs w:val="24"/>
        </w:rPr>
        <w:t>por otro, ha</w:t>
      </w:r>
      <w:r>
        <w:rPr>
          <w:rFonts w:ascii="Times New Roman" w:hAnsi="Times New Roman" w:cs="Times New Roman"/>
          <w:sz w:val="24"/>
          <w:szCs w:val="24"/>
        </w:rPr>
        <w:t xml:space="preserve"> sido cerrada.</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301615" cy="2751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1615" cy="2751455"/>
                    </a:xfrm>
                    <a:prstGeom prst="rect">
                      <a:avLst/>
                    </a:prstGeom>
                    <a:noFill/>
                    <a:ln>
                      <a:noFill/>
                    </a:ln>
                  </pic:spPr>
                </pic:pic>
              </a:graphicData>
            </a:graphic>
          </wp:inline>
        </w:drawing>
      </w:r>
    </w:p>
    <w:p w:rsidR="00D75970"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28. Tasa neta ajustada de asistencia a Bachillerato (quintil 1 y 5). Fuente: ENEMDU – INEC. Elaborado: Ministerio de Educación.</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281295" cy="2583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1295" cy="2583180"/>
                    </a:xfrm>
                    <a:prstGeom prst="rect">
                      <a:avLst/>
                    </a:prstGeom>
                    <a:noFill/>
                    <a:ln>
                      <a:noFill/>
                    </a:ln>
                  </pic:spPr>
                </pic:pic>
              </a:graphicData>
            </a:graphic>
          </wp:inline>
        </w:drawing>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Gráfico 29. Tasa neta ajustada de asistencia a Bachillerato (rural y urbano). Fuente: ENEMDU – INEC. Elaborado: Ministerio de Educación.</w:t>
      </w:r>
    </w:p>
    <w:p w:rsidR="00D75970"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Por supuesto, haber terminado el bachillerato brinda una oportunidad para formar capacidades para hacer más cosas, relacionarse de forma distinta y liderar la vida de mejor manera. Para el 2015, el porcentaje de personas de 18 a 24 años que han completado el bachillerato se ha incrementado en un tercio de lo que era en el 2006.</w:t>
      </w:r>
    </w:p>
    <w:p w:rsidR="00D75970" w:rsidRDefault="00D75970" w:rsidP="00D75970">
      <w:pPr>
        <w:spacing w:line="240" w:lineRule="auto"/>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5318125" cy="29851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8125" cy="2985135"/>
                    </a:xfrm>
                    <a:prstGeom prst="rect">
                      <a:avLst/>
                    </a:prstGeom>
                    <a:noFill/>
                    <a:ln>
                      <a:noFill/>
                    </a:ln>
                  </pic:spPr>
                </pic:pic>
              </a:graphicData>
            </a:graphic>
          </wp:inline>
        </w:drawing>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30. Porcentaje de personas entre 18 y 24 años con Bachillerato completo. Fuente: ENEMDU – INEC. Elaborado: Ministerio de Educación.</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 obtener una medida de la calidad en el Sistema Nacional de Educación, el INEVAL ha desarrollado una serie de exámenes y encuestas a profesores y estudiantes. Una correlación identificada es entre los resultados del examen Ser Bachiller y el índice socio-económico: tendencialmente, mientras más alto el índice socio-económico, mejor desempeño en el examen, y mientras menor el índice socio-económico, peor desempeño. </w:t>
      </w:r>
    </w:p>
    <w:p w:rsidR="00D75970" w:rsidRDefault="00D75970" w:rsidP="00D75970">
      <w:pPr>
        <w:spacing w:line="240" w:lineRule="auto"/>
        <w:jc w:val="both"/>
        <w:rPr>
          <w:rFonts w:ascii="Times New Roman" w:eastAsia="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937125" cy="28251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7125" cy="2825115"/>
                    </a:xfrm>
                    <a:prstGeom prst="rect">
                      <a:avLst/>
                    </a:prstGeom>
                    <a:noFill/>
                    <a:ln>
                      <a:noFill/>
                    </a:ln>
                  </pic:spPr>
                </pic:pic>
              </a:graphicData>
            </a:graphic>
          </wp:inline>
        </w:drawing>
      </w:r>
    </w:p>
    <w:p w:rsidR="00D75970"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31. Puntaje simple Ser Bachiller: Brechas educativas por estatus socioeconómico. Fuente: Instituto Nacional de Evaluación  Educativa. Elaborado: INEVAL.</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Como vimos anteriormente, estudiantes que reportan considerarse pobres han disminuido sustancialmente, mientras los que se consideran no pobres ha incrementado proporcionalmente, con lo cual se esperaría que no solo el acceso sino el aprendizaje estén mejorando.</w:t>
      </w:r>
    </w:p>
    <w:p w:rsidR="00D75970" w:rsidRDefault="00D75970" w:rsidP="00D75970">
      <w:pPr>
        <w:spacing w:line="240" w:lineRule="auto"/>
        <w:jc w:val="both"/>
        <w:rPr>
          <w:rFonts w:ascii="Times New Roman" w:eastAsia="Times New Roman" w:hAnsi="Times New Roman" w:cs="Times New Roman"/>
          <w:sz w:val="24"/>
          <w:szCs w:val="24"/>
          <w:highlight w:val="white"/>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es de esperarse, también hay una relación positiva entre el acceso a la comida y el desempeño en los distintos niveles educativos del Sistema Nacional de Educación, como observamos en los siguientes gráficos. </w:t>
      </w: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5387975" cy="31083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975" cy="3108325"/>
                    </a:xfrm>
                    <a:prstGeom prst="rect">
                      <a:avLst/>
                    </a:prstGeom>
                    <a:noFill/>
                    <a:ln>
                      <a:noFill/>
                    </a:ln>
                  </pic:spPr>
                </pic:pic>
              </a:graphicData>
            </a:graphic>
          </wp:inline>
        </w:drawing>
      </w:r>
    </w:p>
    <w:p w:rsidR="00D75970"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jc w:val="center"/>
        <w:rPr>
          <w:rFonts w:ascii="Times New Roman" w:hAnsi="Times New Roman" w:cs="Times New Roman"/>
          <w:sz w:val="24"/>
          <w:szCs w:val="24"/>
        </w:rPr>
      </w:pPr>
      <w:r>
        <w:rPr>
          <w:rFonts w:ascii="Times New Roman" w:hAnsi="Times New Roman" w:cs="Times New Roman"/>
          <w:sz w:val="24"/>
          <w:szCs w:val="24"/>
        </w:rPr>
        <w:t>Gráfico 32. Acceso a la alimentación y desempeño en exámenes en Cuarto, Séptimo y Décimo de Educación Básica General y Tercero de Bachillerato. Fuente: Instituto Nacional de Evaluación  Educativa. Elaboración: INEVAL.</w:t>
      </w:r>
    </w:p>
    <w:p w:rsidR="00D75970" w:rsidRDefault="00D75970" w:rsidP="00D75970">
      <w:pPr>
        <w:spacing w:line="240" w:lineRule="auto"/>
        <w:jc w:val="both"/>
        <w:rPr>
          <w:rFonts w:ascii="Times New Roman" w:eastAsia="Times New Roman" w:hAnsi="Times New Roman" w:cs="Times New Roman"/>
          <w:sz w:val="24"/>
          <w:szCs w:val="24"/>
        </w:rPr>
      </w:pPr>
    </w:p>
    <w:p w:rsidR="00D75970" w:rsidRPr="00FE51D1" w:rsidRDefault="00D75970" w:rsidP="00D75970">
      <w:pPr>
        <w:spacing w:line="240" w:lineRule="auto"/>
        <w:jc w:val="both"/>
        <w:rPr>
          <w:rFonts w:ascii="Times New Roman" w:eastAsia="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5297805" cy="25584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7805" cy="2558415"/>
                    </a:xfrm>
                    <a:prstGeom prst="rect">
                      <a:avLst/>
                    </a:prstGeom>
                    <a:noFill/>
                    <a:ln>
                      <a:noFill/>
                    </a:ln>
                  </pic:spPr>
                </pic:pic>
              </a:graphicData>
            </a:graphic>
          </wp:inline>
        </w:drawing>
      </w: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33</w:t>
      </w:r>
      <w:r w:rsidRPr="009342ED">
        <w:rPr>
          <w:rFonts w:ascii="Times New Roman" w:hAnsi="Times New Roman" w:cs="Times New Roman"/>
          <w:sz w:val="24"/>
          <w:szCs w:val="24"/>
        </w:rPr>
        <w:t>. Progresión de las brechas por alimentación. Fuente: Instituto Nacional de Evaluación Educativa.</w:t>
      </w:r>
      <w:r>
        <w:rPr>
          <w:rFonts w:ascii="Times New Roman" w:hAnsi="Times New Roman" w:cs="Times New Roman"/>
          <w:sz w:val="24"/>
          <w:szCs w:val="24"/>
        </w:rPr>
        <w:t xml:space="preserve"> Elaboración: INEVAL.</w:t>
      </w:r>
    </w:p>
    <w:p w:rsidR="00D75970" w:rsidRDefault="00D75970" w:rsidP="00D75970">
      <w:pPr>
        <w:tabs>
          <w:tab w:val="left" w:pos="4111"/>
        </w:tabs>
        <w:spacing w:line="240" w:lineRule="auto"/>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alimentación en sí es un derecho humano y constitucional, y en conjunto con su efecto sobre el derecho a una educación de calidad, constituyen el fundamento del Programa de </w:t>
      </w:r>
      <w:r>
        <w:rPr>
          <w:rFonts w:ascii="Times New Roman" w:hAnsi="Times New Roman" w:cs="Times New Roman"/>
          <w:sz w:val="24"/>
          <w:szCs w:val="24"/>
        </w:rPr>
        <w:lastRenderedPageBreak/>
        <w:t>Alimentación Escolar que se ha implementado en los últimos años y que ha beneficiado a casi tres millones de estudiantes.</w:t>
      </w:r>
    </w:p>
    <w:p w:rsidR="00D75970" w:rsidRDefault="00D75970" w:rsidP="00D75970">
      <w:pPr>
        <w:tabs>
          <w:tab w:val="left" w:pos="4111"/>
        </w:tabs>
        <w:spacing w:line="240" w:lineRule="auto"/>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Como se ve en el gráfico a continuación, existe también una correlación positiva entre el nivel de acceso a un computador y el desempeño que muestran los estudiantes en los exámenes de evaluación del INEVAL. Tendencialmente, mientras más acceso, mejor puntaje, y mientras menos acceso peor puntaje.</w:t>
      </w:r>
    </w:p>
    <w:p w:rsidR="00D75970" w:rsidRPr="009342ED"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982210" cy="26327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2210" cy="2632710"/>
                    </a:xfrm>
                    <a:prstGeom prst="rect">
                      <a:avLst/>
                    </a:prstGeom>
                    <a:noFill/>
                    <a:ln>
                      <a:noFill/>
                    </a:ln>
                  </pic:spPr>
                </pic:pic>
              </a:graphicData>
            </a:graphic>
          </wp:inline>
        </w:drawing>
      </w: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34</w:t>
      </w:r>
      <w:r w:rsidRPr="009342ED">
        <w:rPr>
          <w:rFonts w:ascii="Times New Roman" w:hAnsi="Times New Roman" w:cs="Times New Roman"/>
          <w:sz w:val="24"/>
          <w:szCs w:val="24"/>
        </w:rPr>
        <w:t>. En casa, la computadora que usa es. Fuente: Instituto Nacional de Evaluación  Educativa.</w:t>
      </w:r>
      <w:r>
        <w:rPr>
          <w:rFonts w:ascii="Times New Roman" w:hAnsi="Times New Roman" w:cs="Times New Roman"/>
          <w:sz w:val="24"/>
          <w:szCs w:val="24"/>
        </w:rPr>
        <w:t xml:space="preserve"> Elaboración: INEVAL.</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En el 2011, el ENEMDU empezó a preguntar sobre el acceso que tienen personas de edad escolar a las computadoras. Podemos ver en la tabla y gráfico a continuación que se ha incrementado el uso, por esta medida básica, para 526,910 niños y niñas de 5 a 14 años, lo que equivale a un incremento de 7% en términos proporcionales a la población y 39% términos de cantidad absoluta. Esperaríamos que el incremento sea mucho mayor si se tuviera medida desde el 2006.</w:t>
      </w: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Tabla </w:t>
      </w:r>
      <w:r>
        <w:rPr>
          <w:rFonts w:ascii="Times New Roman" w:eastAsia="Times New Roman" w:hAnsi="Times New Roman" w:cs="Times New Roman"/>
          <w:sz w:val="24"/>
          <w:szCs w:val="24"/>
        </w:rPr>
        <w:t>15</w:t>
      </w:r>
      <w:r w:rsidRPr="009342ED">
        <w:rPr>
          <w:rFonts w:ascii="Times New Roman" w:eastAsia="Times New Roman" w:hAnsi="Times New Roman" w:cs="Times New Roman"/>
          <w:sz w:val="24"/>
          <w:szCs w:val="24"/>
        </w:rPr>
        <w:t>. En los últimos 12 meses ha usado computador (país, edad: 5-14, matriculados)</w:t>
      </w:r>
      <w:r>
        <w:rPr>
          <w:rFonts w:ascii="Times New Roman" w:eastAsia="Times New Roman" w:hAnsi="Times New Roman" w:cs="Times New Roman"/>
          <w:sz w:val="24"/>
          <w:szCs w:val="24"/>
        </w:rPr>
        <w:t>. Fuente: ENEMDU 2011 y 2015. Elaboración propia.</w:t>
      </w:r>
    </w:p>
    <w:p w:rsidR="00D75970" w:rsidRDefault="00D75970" w:rsidP="00D75970">
      <w:pPr>
        <w:spacing w:line="240" w:lineRule="auto"/>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Default="00D75970" w:rsidP="00D75970">
      <w:pPr>
        <w:spacing w:line="240" w:lineRule="auto"/>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Default="00D75970" w:rsidP="00D75970">
      <w:pPr>
        <w:spacing w:line="240" w:lineRule="auto"/>
        <w:jc w:val="center"/>
      </w:pPr>
      <w:r w:rsidRPr="00B64199">
        <w:rPr>
          <w:noProof/>
          <w:lang w:eastAsia="es-EC"/>
        </w:rPr>
        <w:lastRenderedPageBreak/>
        <w:drawing>
          <wp:inline distT="0" distB="0" distL="0" distR="0">
            <wp:extent cx="3456940" cy="1209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1209675"/>
                    </a:xfrm>
                    <a:prstGeom prst="rect">
                      <a:avLst/>
                    </a:prstGeom>
                    <a:noFill/>
                    <a:ln>
                      <a:noFill/>
                    </a:ln>
                  </pic:spPr>
                </pic:pic>
              </a:graphicData>
            </a:graphic>
          </wp:inline>
        </w:drawing>
      </w:r>
    </w:p>
    <w:p w:rsidR="00D75970" w:rsidRDefault="00D75970" w:rsidP="00D75970">
      <w:pPr>
        <w:spacing w:line="240" w:lineRule="auto"/>
        <w:jc w:val="center"/>
      </w:pPr>
    </w:p>
    <w:p w:rsidR="00D75970" w:rsidRPr="009342ED" w:rsidRDefault="00D75970" w:rsidP="00D75970">
      <w:pPr>
        <w:spacing w:line="240" w:lineRule="auto"/>
        <w:jc w:val="center"/>
        <w:rPr>
          <w:rFonts w:ascii="Times New Roman" w:hAnsi="Times New Roman" w:cs="Times New Roman"/>
          <w:sz w:val="24"/>
          <w:szCs w:val="24"/>
        </w:rPr>
      </w:pPr>
    </w:p>
    <w:p w:rsidR="00D75970" w:rsidRPr="009342ED" w:rsidRDefault="00D75970" w:rsidP="00D75970">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A nivel nacional durante 2011 el porcentaje de los estudiantes matriculados de 5 a 14 años de edad que han usado computador los últimos 12 meses fue 50.26% mientras que durante 2015 el po</w:t>
      </w:r>
      <w:r>
        <w:rPr>
          <w:rFonts w:ascii="Times New Roman" w:eastAsia="Times New Roman" w:hAnsi="Times New Roman" w:cs="Times New Roman"/>
          <w:sz w:val="24"/>
          <w:szCs w:val="24"/>
        </w:rPr>
        <w:t>rcentaje equivalente fue 57.60%.</w:t>
      </w:r>
    </w:p>
    <w:p w:rsidR="00D75970" w:rsidRPr="009342ED" w:rsidRDefault="00D75970" w:rsidP="00D75970">
      <w:pPr>
        <w:spacing w:line="240" w:lineRule="auto"/>
        <w:jc w:val="both"/>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Pr="00D910A3" w:rsidRDefault="00D75970" w:rsidP="00D75970">
      <w:pPr>
        <w:spacing w:line="240" w:lineRule="auto"/>
        <w:jc w:val="center"/>
        <w:rPr>
          <w:rFonts w:ascii="Times New Roman" w:hAnsi="Times New Roman" w:cs="Times New Roman"/>
          <w:noProof/>
          <w:sz w:val="24"/>
          <w:szCs w:val="24"/>
          <w:lang w:val="es-ES" w:eastAsia="en-GB"/>
        </w:rPr>
      </w:pPr>
    </w:p>
    <w:p w:rsidR="00D75970" w:rsidRDefault="00D75970" w:rsidP="00D7597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C"/>
        </w:rPr>
        <w:drawing>
          <wp:inline distT="0" distB="0" distL="0" distR="0">
            <wp:extent cx="4572000" cy="2971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pic:spPr>
                </pic:pic>
              </a:graphicData>
            </a:graphic>
          </wp:inline>
        </w:drawing>
      </w:r>
    </w:p>
    <w:p w:rsidR="00D75970" w:rsidRDefault="00D75970" w:rsidP="00D75970">
      <w:pPr>
        <w:spacing w:line="240" w:lineRule="auto"/>
        <w:jc w:val="center"/>
        <w:rPr>
          <w:rFonts w:ascii="Times New Roman" w:eastAsia="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Gráfico </w:t>
      </w:r>
      <w:r>
        <w:rPr>
          <w:rFonts w:ascii="Times New Roman" w:eastAsia="Times New Roman" w:hAnsi="Times New Roman" w:cs="Times New Roman"/>
          <w:sz w:val="24"/>
          <w:szCs w:val="24"/>
        </w:rPr>
        <w:t>35</w:t>
      </w:r>
      <w:r w:rsidRPr="009342ED">
        <w:rPr>
          <w:rFonts w:ascii="Times New Roman" w:eastAsia="Times New Roman" w:hAnsi="Times New Roman" w:cs="Times New Roman"/>
          <w:sz w:val="24"/>
          <w:szCs w:val="24"/>
        </w:rPr>
        <w:t>. En los últimos 12 meses ha usado computador (país, edad: 5-14, matriculados)</w:t>
      </w:r>
      <w:r>
        <w:rPr>
          <w:rFonts w:ascii="Times New Roman" w:eastAsia="Times New Roman" w:hAnsi="Times New Roman" w:cs="Times New Roman"/>
          <w:sz w:val="24"/>
          <w:szCs w:val="24"/>
        </w:rPr>
        <w:t>. Fuente: ENEMDU 2011 y 2015. Elaboración propia.</w:t>
      </w:r>
    </w:p>
    <w:p w:rsidR="00D75970"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rPr>
          <w:rFonts w:ascii="Times New Roman" w:hAnsi="Times New Roman" w:cs="Times New Roman"/>
          <w:sz w:val="24"/>
          <w:szCs w:val="24"/>
        </w:rPr>
      </w:pPr>
      <w:r>
        <w:rPr>
          <w:rFonts w:ascii="Times New Roman" w:hAnsi="Times New Roman" w:cs="Times New Roman"/>
          <w:sz w:val="24"/>
          <w:szCs w:val="24"/>
        </w:rPr>
        <w:t>También existe una fuerte correlación entre acceso a internet y desempeño en los exámenes nacionales del INEVAL, como podemos observar las medidas que toman los próximos gráficos.</w:t>
      </w:r>
    </w:p>
    <w:p w:rsidR="00D75970" w:rsidRPr="009342ED" w:rsidRDefault="00D75970" w:rsidP="00D75970">
      <w:pPr>
        <w:spacing w:line="240" w:lineRule="auto"/>
        <w:jc w:val="center"/>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lastRenderedPageBreak/>
        <w:drawing>
          <wp:inline distT="0" distB="0" distL="0" distR="0">
            <wp:extent cx="4945380" cy="286639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5380" cy="2866390"/>
                    </a:xfrm>
                    <a:prstGeom prst="rect">
                      <a:avLst/>
                    </a:prstGeom>
                    <a:noFill/>
                    <a:ln>
                      <a:noFill/>
                    </a:ln>
                  </pic:spPr>
                </pic:pic>
              </a:graphicData>
            </a:graphic>
          </wp:inline>
        </w:drawing>
      </w: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36</w:t>
      </w:r>
      <w:r w:rsidRPr="009342ED">
        <w:rPr>
          <w:rFonts w:ascii="Times New Roman" w:hAnsi="Times New Roman" w:cs="Times New Roman"/>
          <w:sz w:val="24"/>
          <w:szCs w:val="24"/>
        </w:rPr>
        <w:t>. Conexión a internet en el hogar. Fuente: Instituto Nacional de Evaluación  Educativa.</w:t>
      </w:r>
      <w:r w:rsidRPr="00060C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INEVAL.</w:t>
      </w:r>
    </w:p>
    <w:p w:rsidR="00D75970" w:rsidRDefault="00D75970" w:rsidP="00D75970">
      <w:pPr>
        <w:spacing w:line="240" w:lineRule="auto"/>
        <w:jc w:val="both"/>
        <w:rPr>
          <w:rFonts w:ascii="Times New Roman" w:eastAsia="Times New Roman" w:hAnsi="Times New Roman" w:cs="Times New Roman"/>
          <w:sz w:val="24"/>
          <w:szCs w:val="24"/>
        </w:rPr>
      </w:pPr>
    </w:p>
    <w:p w:rsidR="00D75970" w:rsidRPr="009342ED"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969510" cy="2776220"/>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9510" cy="2776220"/>
                    </a:xfrm>
                    <a:prstGeom prst="rect">
                      <a:avLst/>
                    </a:prstGeom>
                    <a:noFill/>
                    <a:ln>
                      <a:noFill/>
                    </a:ln>
                  </pic:spPr>
                </pic:pic>
              </a:graphicData>
            </a:graphic>
          </wp:inline>
        </w:drawing>
      </w:r>
    </w:p>
    <w:p w:rsidR="00D75970" w:rsidRDefault="00D75970" w:rsidP="00D75970">
      <w:pPr>
        <w:spacing w:line="240" w:lineRule="auto"/>
        <w:jc w:val="center"/>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37</w:t>
      </w:r>
      <w:r w:rsidRPr="009342ED">
        <w:rPr>
          <w:rFonts w:ascii="Times New Roman" w:hAnsi="Times New Roman" w:cs="Times New Roman"/>
          <w:sz w:val="24"/>
          <w:szCs w:val="24"/>
        </w:rPr>
        <w:t>. Uso de internet cuando no está en clases. Fuente: Instituto Nacional de Evaluación  Educativa.</w:t>
      </w:r>
      <w:r>
        <w:rPr>
          <w:rFonts w:ascii="Times New Roman" w:hAnsi="Times New Roman" w:cs="Times New Roman"/>
          <w:sz w:val="24"/>
          <w:szCs w:val="24"/>
        </w:rPr>
        <w:t xml:space="preserve"> Elaboración: INEVAL.</w:t>
      </w: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En este sentido, desde que se empezó a medir el acceso al internet en niños y niñas entre 5 y 14 años en ENEMDU, se observa un incremento rápido. </w:t>
      </w:r>
      <w:r>
        <w:rPr>
          <w:rFonts w:ascii="Times New Roman" w:eastAsia="Times New Roman" w:hAnsi="Times New Roman" w:cs="Times New Roman"/>
          <w:sz w:val="24"/>
          <w:szCs w:val="24"/>
        </w:rPr>
        <w:t xml:space="preserve">A nivel nacional durante </w:t>
      </w:r>
      <w:r>
        <w:rPr>
          <w:rFonts w:ascii="Times New Roman" w:eastAsia="Times New Roman" w:hAnsi="Times New Roman" w:cs="Times New Roman"/>
          <w:sz w:val="24"/>
          <w:szCs w:val="24"/>
        </w:rPr>
        <w:lastRenderedPageBreak/>
        <w:t>2011 el porcentaje de los estudiantes matriculados de 5 a 14 años de edad que han usado internet los últimos 12 meses fue 35.56% mientras que durante 2015 el porcentaje equivalente fue 53.89%.</w:t>
      </w:r>
    </w:p>
    <w:p w:rsidR="00D75970" w:rsidRDefault="00D75970" w:rsidP="00D75970">
      <w:pPr>
        <w:spacing w:line="240" w:lineRule="auto"/>
        <w:jc w:val="both"/>
        <w:rPr>
          <w:rFonts w:ascii="Times New Roman" w:hAnsi="Times New Roman" w:cs="Times New Roman"/>
          <w:sz w:val="24"/>
          <w:szCs w:val="24"/>
        </w:rPr>
      </w:pPr>
      <w:r>
        <w:rPr>
          <w:rFonts w:ascii="Times New Roman" w:hAnsi="Times New Roman" w:cs="Times New Roman"/>
          <w:sz w:val="24"/>
          <w:szCs w:val="24"/>
        </w:rPr>
        <w:t>Como podemos observar en la próxima tabla y gráfico, el uso del internet en los últimos 12 meses incrementó 18% en términos proporcionales al grupo poblacional entre el 2011 y el 2015; e incrementó 84% en tan solo estos cuatro años en términos absolutos.</w:t>
      </w: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Tabla </w:t>
      </w:r>
      <w:r>
        <w:rPr>
          <w:rFonts w:ascii="Times New Roman" w:eastAsia="Times New Roman" w:hAnsi="Times New Roman" w:cs="Times New Roman"/>
          <w:sz w:val="24"/>
          <w:szCs w:val="24"/>
        </w:rPr>
        <w:t>16</w:t>
      </w:r>
      <w:r w:rsidRPr="009342ED">
        <w:rPr>
          <w:rFonts w:ascii="Times New Roman" w:eastAsia="Times New Roman" w:hAnsi="Times New Roman" w:cs="Times New Roman"/>
          <w:sz w:val="24"/>
          <w:szCs w:val="24"/>
        </w:rPr>
        <w:t>. En los últimos 12 meses ha usado internet (país, edad: 5-14, matriculados)</w:t>
      </w:r>
      <w:r>
        <w:rPr>
          <w:rFonts w:ascii="Times New Roman" w:eastAsia="Times New Roman" w:hAnsi="Times New Roman" w:cs="Times New Roman"/>
          <w:sz w:val="24"/>
          <w:szCs w:val="24"/>
        </w:rPr>
        <w:t>. Fuente: ENEMDU 2011 y 2015.</w:t>
      </w:r>
      <w:r w:rsidRPr="004C7E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Elaboración propia.</w:t>
      </w:r>
    </w:p>
    <w:p w:rsidR="00D75970" w:rsidRDefault="00D75970" w:rsidP="00D75970">
      <w:pPr>
        <w:spacing w:line="240" w:lineRule="auto"/>
        <w:jc w:val="center"/>
      </w:pPr>
    </w:p>
    <w:p w:rsidR="00D75970" w:rsidRDefault="00D75970" w:rsidP="00D75970">
      <w:pPr>
        <w:spacing w:line="240" w:lineRule="auto"/>
        <w:jc w:val="center"/>
      </w:pPr>
      <w:r w:rsidRPr="0001424D">
        <w:rPr>
          <w:noProof/>
          <w:lang w:eastAsia="es-EC"/>
        </w:rPr>
        <w:drawing>
          <wp:inline distT="0" distB="0" distL="0" distR="0">
            <wp:extent cx="3780790" cy="1209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790" cy="1209675"/>
                    </a:xfrm>
                    <a:prstGeom prst="rect">
                      <a:avLst/>
                    </a:prstGeom>
                    <a:noFill/>
                    <a:ln>
                      <a:noFill/>
                    </a:ln>
                  </pic:spPr>
                </pic:pic>
              </a:graphicData>
            </a:graphic>
          </wp:inline>
        </w:drawing>
      </w:r>
    </w:p>
    <w:p w:rsidR="00D75970" w:rsidRDefault="00D75970" w:rsidP="00D75970">
      <w:pPr>
        <w:spacing w:line="240" w:lineRule="auto"/>
        <w:jc w:val="center"/>
      </w:pPr>
    </w:p>
    <w:p w:rsidR="00D75970" w:rsidRPr="009342ED" w:rsidRDefault="00D75970" w:rsidP="00D75970">
      <w:pPr>
        <w:spacing w:line="240" w:lineRule="auto"/>
        <w:jc w:val="center"/>
        <w:rPr>
          <w:rFonts w:ascii="Times New Roman" w:hAnsi="Times New Roman" w:cs="Times New Roman"/>
          <w:sz w:val="24"/>
          <w:szCs w:val="24"/>
        </w:rPr>
      </w:pPr>
    </w:p>
    <w:p w:rsidR="00D75970" w:rsidRDefault="00D75970" w:rsidP="00D75970">
      <w:pPr>
        <w:spacing w:line="240" w:lineRule="auto"/>
        <w:jc w:val="both"/>
        <w:rPr>
          <w:rFonts w:ascii="Times New Roman" w:eastAsia="Times New Roman" w:hAnsi="Times New Roman" w:cs="Times New Roman"/>
          <w:sz w:val="24"/>
          <w:szCs w:val="24"/>
        </w:rPr>
      </w:pPr>
    </w:p>
    <w:p w:rsidR="00D75970" w:rsidRDefault="00D75970" w:rsidP="00D75970">
      <w:pPr>
        <w:spacing w:line="240" w:lineRule="auto"/>
        <w:jc w:val="both"/>
        <w:rPr>
          <w:rFonts w:ascii="Times New Roman" w:eastAsia="Times New Roman" w:hAnsi="Times New Roman" w:cs="Times New Roman"/>
          <w:sz w:val="24"/>
          <w:szCs w:val="24"/>
        </w:rPr>
      </w:pPr>
    </w:p>
    <w:p w:rsidR="00D75970" w:rsidRDefault="00D75970" w:rsidP="00D75970">
      <w:pPr>
        <w:spacing w:line="240" w:lineRule="auto"/>
        <w:jc w:val="both"/>
        <w:rPr>
          <w:rFonts w:ascii="Times New Roman" w:eastAsia="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Default="00D75970" w:rsidP="00D75970">
      <w:pPr>
        <w:spacing w:line="240" w:lineRule="auto"/>
        <w:jc w:val="both"/>
        <w:rPr>
          <w:rFonts w:ascii="Times New Roman" w:hAnsi="Times New Roman" w:cs="Times New Roman"/>
          <w:sz w:val="24"/>
          <w:szCs w:val="24"/>
        </w:rPr>
      </w:pPr>
    </w:p>
    <w:p w:rsidR="00D75970" w:rsidRPr="009342ED" w:rsidRDefault="00D75970" w:rsidP="00D7597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anchor distT="0" distB="0" distL="114300" distR="114300" simplePos="0" relativeHeight="251659264" behindDoc="0" locked="0" layoutInCell="1" allowOverlap="0">
            <wp:simplePos x="0" y="0"/>
            <wp:positionH relativeFrom="column">
              <wp:align>center</wp:align>
            </wp:positionH>
            <wp:positionV relativeFrom="paragraph">
              <wp:posOffset>-635</wp:posOffset>
            </wp:positionV>
            <wp:extent cx="4579620" cy="29718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9620" cy="2971800"/>
                    </a:xfrm>
                    <a:prstGeom prst="rect">
                      <a:avLst/>
                    </a:prstGeom>
                    <a:noFill/>
                  </pic:spPr>
                </pic:pic>
              </a:graphicData>
            </a:graphic>
            <wp14:sizeRelH relativeFrom="page">
              <wp14:pctWidth>0</wp14:pctWidth>
            </wp14:sizeRelH>
            <wp14:sizeRelV relativeFrom="page">
              <wp14:pctHeight>0</wp14:pctHeight>
            </wp14:sizeRelV>
          </wp:anchor>
        </w:drawing>
      </w:r>
    </w:p>
    <w:p w:rsidR="00D75970" w:rsidRPr="009342ED" w:rsidRDefault="00D75970" w:rsidP="00D75970">
      <w:pPr>
        <w:spacing w:line="240" w:lineRule="auto"/>
        <w:ind w:left="720" w:hanging="360"/>
        <w:jc w:val="both"/>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Default="00D75970" w:rsidP="00D75970">
      <w:pPr>
        <w:spacing w:line="240" w:lineRule="auto"/>
        <w:ind w:left="720" w:hanging="360"/>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p>
    <w:p w:rsidR="00D75970" w:rsidRPr="009342ED" w:rsidRDefault="00D75970" w:rsidP="00D75970">
      <w:pPr>
        <w:spacing w:line="240" w:lineRule="auto"/>
        <w:ind w:left="720" w:hanging="360"/>
        <w:jc w:val="both"/>
        <w:rPr>
          <w:rFonts w:ascii="Times New Roman" w:hAnsi="Times New Roman" w:cs="Times New Roman"/>
          <w:sz w:val="24"/>
          <w:szCs w:val="24"/>
        </w:rPr>
      </w:pPr>
    </w:p>
    <w:p w:rsidR="00D75970" w:rsidRPr="009342ED" w:rsidRDefault="00D75970" w:rsidP="00D75970">
      <w:pPr>
        <w:spacing w:line="240" w:lineRule="auto"/>
        <w:ind w:left="720" w:hanging="360"/>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D75970" w:rsidRPr="009342ED" w:rsidRDefault="00D75970" w:rsidP="00D75970">
      <w:pPr>
        <w:spacing w:line="240" w:lineRule="auto"/>
        <w:jc w:val="center"/>
        <w:rPr>
          <w:rFonts w:ascii="Times New Roman" w:hAnsi="Times New Roman" w:cs="Times New Roman"/>
          <w:sz w:val="24"/>
          <w:szCs w:val="24"/>
        </w:rPr>
      </w:pPr>
      <w:r w:rsidRPr="009342ED">
        <w:rPr>
          <w:rFonts w:ascii="Times New Roman" w:eastAsia="Times New Roman" w:hAnsi="Times New Roman" w:cs="Times New Roman"/>
          <w:sz w:val="24"/>
          <w:szCs w:val="24"/>
        </w:rPr>
        <w:t xml:space="preserve">Gráfico </w:t>
      </w:r>
      <w:r>
        <w:rPr>
          <w:rFonts w:ascii="Times New Roman" w:eastAsia="Times New Roman" w:hAnsi="Times New Roman" w:cs="Times New Roman"/>
          <w:sz w:val="24"/>
          <w:szCs w:val="24"/>
        </w:rPr>
        <w:t>38</w:t>
      </w:r>
      <w:r w:rsidRPr="009342ED">
        <w:rPr>
          <w:rFonts w:ascii="Times New Roman" w:eastAsia="Times New Roman" w:hAnsi="Times New Roman" w:cs="Times New Roman"/>
          <w:sz w:val="24"/>
          <w:szCs w:val="24"/>
        </w:rPr>
        <w:t>. En los últimos 12 meses ha usado internet (país, edad: 5-14, matriculados)</w:t>
      </w:r>
      <w:r>
        <w:rPr>
          <w:rFonts w:ascii="Times New Roman" w:eastAsia="Times New Roman" w:hAnsi="Times New Roman" w:cs="Times New Roman"/>
          <w:sz w:val="24"/>
          <w:szCs w:val="24"/>
        </w:rPr>
        <w:t>. Fuente: ENEMDU 2011 y 2015. Elaboración propia.</w:t>
      </w:r>
    </w:p>
    <w:p w:rsidR="00D75970" w:rsidRPr="009342ED" w:rsidRDefault="00D75970" w:rsidP="00D75970">
      <w:pPr>
        <w:spacing w:line="240" w:lineRule="auto"/>
        <w:ind w:left="720" w:hanging="360"/>
        <w:jc w:val="center"/>
        <w:rPr>
          <w:rFonts w:ascii="Times New Roman" w:hAnsi="Times New Roman" w:cs="Times New Roman"/>
          <w:sz w:val="24"/>
          <w:szCs w:val="24"/>
        </w:rPr>
      </w:pPr>
    </w:p>
    <w:p w:rsidR="00D75970" w:rsidRDefault="00D75970" w:rsidP="00D75970">
      <w:pPr>
        <w:spacing w:line="240" w:lineRule="auto"/>
        <w:ind w:left="720" w:hanging="360"/>
        <w:jc w:val="both"/>
        <w:rPr>
          <w:rFonts w:ascii="Times New Roman" w:eastAsia="Times New Roman" w:hAnsi="Times New Roman" w:cs="Times New Roman"/>
          <w:sz w:val="24"/>
          <w:szCs w:val="24"/>
        </w:rPr>
      </w:pPr>
      <w:r w:rsidRPr="009342ED">
        <w:rPr>
          <w:rFonts w:ascii="Times New Roman" w:eastAsia="Times New Roman" w:hAnsi="Times New Roman" w:cs="Times New Roman"/>
          <w:sz w:val="24"/>
          <w:szCs w:val="24"/>
        </w:rPr>
        <w:t xml:space="preserve"> </w:t>
      </w:r>
    </w:p>
    <w:p w:rsidR="00BF442D" w:rsidRPr="00D75970" w:rsidRDefault="00D75970" w:rsidP="00D75970">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En las edades del bachillerato se observan similares incrementos en el acceso a internet. </w:t>
      </w:r>
      <w:r w:rsidRPr="009342ED">
        <w:rPr>
          <w:rFonts w:ascii="Times New Roman" w:eastAsia="Times New Roman" w:hAnsi="Times New Roman" w:cs="Times New Roman"/>
          <w:sz w:val="24"/>
          <w:szCs w:val="24"/>
        </w:rPr>
        <w:t>A nivel nacional</w:t>
      </w:r>
      <w:r>
        <w:rPr>
          <w:rFonts w:ascii="Times New Roman" w:eastAsia="Times New Roman" w:hAnsi="Times New Roman" w:cs="Times New Roman"/>
          <w:sz w:val="24"/>
          <w:szCs w:val="24"/>
        </w:rPr>
        <w:t>,</w:t>
      </w:r>
      <w:r w:rsidRPr="009342ED">
        <w:rPr>
          <w:rFonts w:ascii="Times New Roman" w:eastAsia="Times New Roman" w:hAnsi="Times New Roman" w:cs="Times New Roman"/>
          <w:sz w:val="24"/>
          <w:szCs w:val="24"/>
        </w:rPr>
        <w:t xml:space="preserve"> durante 2011 el porcentaje de los estudiantes matriculados de 15 a 17 años de edad que han usado internet los últimos 12 meses fue 79.85% mientras que durante 2015 el po</w:t>
      </w:r>
      <w:r>
        <w:rPr>
          <w:rFonts w:ascii="Times New Roman" w:eastAsia="Times New Roman" w:hAnsi="Times New Roman" w:cs="Times New Roman"/>
          <w:sz w:val="24"/>
          <w:szCs w:val="24"/>
        </w:rPr>
        <w:t>rcentaje equivalente fue 90.10%. En términos absolutos hay un incremento de acceso al uso de internet para 174,972 personas, o 30% sobre el número de personas en el 2011.</w:t>
      </w:r>
    </w:p>
    <w:sectPr w:rsidR="00BF442D" w:rsidRPr="00D759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492B24"/>
    <w:rsid w:val="00655A68"/>
    <w:rsid w:val="00691D32"/>
    <w:rsid w:val="009A34A0"/>
    <w:rsid w:val="00B33AD2"/>
    <w:rsid w:val="00BF442D"/>
    <w:rsid w:val="00CB4C74"/>
    <w:rsid w:val="00D7597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931</Words>
  <Characters>5125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5</cp:revision>
  <dcterms:created xsi:type="dcterms:W3CDTF">2017-12-30T03:24:00Z</dcterms:created>
  <dcterms:modified xsi:type="dcterms:W3CDTF">2017-12-30T03:42:00Z</dcterms:modified>
</cp:coreProperties>
</file>