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9E03B4">
        <w:t>Guaranda, 22</w:t>
      </w:r>
      <w:r>
        <w:t xml:space="preserve"> de Marzo, 2017</w:t>
      </w:r>
    </w:p>
    <w:p w:rsidR="009E03B4" w:rsidRDefault="009E03B4" w:rsidP="009E03B4">
      <w:pPr>
        <w:spacing w:line="240" w:lineRule="auto"/>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Durante 2006 el porcentaje de los estudiantes entre 5 y 14 años de edad que no asistió a clases por falta de recursos económicos fue 4.24% mientras que durante 2015 el p</w:t>
      </w:r>
      <w:r>
        <w:rPr>
          <w:rFonts w:ascii="Times New Roman" w:eastAsia="Times New Roman" w:hAnsi="Times New Roman" w:cs="Times New Roman"/>
          <w:sz w:val="24"/>
          <w:szCs w:val="24"/>
        </w:rPr>
        <w:t>orcentaje equivalente fue 0.47%, es decir, 8 veces menos</w:t>
      </w:r>
      <w:r w:rsidRPr="009342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Igualmente, no hay evidencia de que los niños y niñas dejan de ir a la escuela por falta establecimiento, ya que el porcentaje es supremamente bajo y de tendencia a la baja. Sin embargo, si bien el porcentaje es bajo (menos de 0.30%), valdría investigar el origen y respuesta de política pública por el alza en respuestas de niños y niñas dejan de ir a la escuela por falta de cupos y por embarazo. En el caso del embarazo adolescente, se debe tomar en cuenta que la evidencia científica muestra que educación en planificación familiar basada en la estrategia de la abstinencia, en vez de una discusión abierta e integral de la vida sexual de las personas, está positivamente correlacionado con aumento en embarazos adolescentes (</w:t>
      </w:r>
      <w:proofErr w:type="spellStart"/>
      <w:r>
        <w:rPr>
          <w:rFonts w:ascii="Times New Roman" w:eastAsia="Times New Roman" w:hAnsi="Times New Roman" w:cs="Times New Roman"/>
          <w:sz w:val="24"/>
          <w:szCs w:val="24"/>
        </w:rPr>
        <w:t>Stanger</w:t>
      </w:r>
      <w:proofErr w:type="spellEnd"/>
      <w:r>
        <w:rPr>
          <w:rFonts w:ascii="Times New Roman" w:eastAsia="Times New Roman" w:hAnsi="Times New Roman" w:cs="Times New Roman"/>
          <w:sz w:val="24"/>
          <w:szCs w:val="24"/>
        </w:rPr>
        <w:t>-Hall y Hall 2011; UNESCO, 2016; UNESCO, 2011). La educación sexual en Francia, por ejemplo, provee un ejemplo de política exitosa de prevención de embarazos adolescentes y enfermedades sexualmente transmitidas. De todas maneras, vale la pena notar que esto es más pertinente para adolescentes y embarazos a estas edades menores pueden estar asociadas a abusos por mayores.</w:t>
      </w: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siguiente podemos observar que medio millón de niños y niñas adicionales participaron en la educación general básica en el 2015, en comparación al 2006.</w:t>
      </w:r>
    </w:p>
    <w:p w:rsidR="009E03B4" w:rsidRDefault="009E03B4" w:rsidP="009E03B4">
      <w:pPr>
        <w:spacing w:line="240" w:lineRule="auto"/>
        <w:jc w:val="both"/>
        <w:rPr>
          <w:rFonts w:ascii="Times New Roman" w:eastAsia="Times New Roman" w:hAnsi="Times New Roman" w:cs="Times New Roman"/>
          <w:sz w:val="24"/>
          <w:szCs w:val="24"/>
        </w:rPr>
      </w:pPr>
    </w:p>
    <w:p w:rsidR="009E03B4" w:rsidRPr="009342ED" w:rsidRDefault="009E03B4" w:rsidP="009E03B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Tabla 3</w:t>
      </w:r>
      <w:r w:rsidRPr="00A2631B">
        <w:rPr>
          <w:rFonts w:ascii="Times New Roman" w:eastAsia="Times New Roman" w:hAnsi="Times New Roman" w:cs="Times New Roman"/>
          <w:sz w:val="24"/>
          <w:szCs w:val="24"/>
        </w:rPr>
        <w:t>. Razón por la que no asiste (edad: 5-14). Fuente: ENEMDU 2006 y 2015.</w:t>
      </w:r>
      <w:r>
        <w:rPr>
          <w:rFonts w:ascii="Times New Roman" w:eastAsia="Times New Roman" w:hAnsi="Times New Roman" w:cs="Times New Roman"/>
          <w:sz w:val="24"/>
          <w:szCs w:val="24"/>
        </w:rPr>
        <w:t xml:space="preserve"> Elaboración propia.</w:t>
      </w:r>
    </w:p>
    <w:p w:rsidR="009E03B4" w:rsidRDefault="009E03B4" w:rsidP="009E03B4">
      <w:pPr>
        <w:spacing w:line="240" w:lineRule="auto"/>
        <w:jc w:val="both"/>
        <w:rPr>
          <w:rFonts w:ascii="Times New Roman" w:hAnsi="Times New Roman" w:cs="Times New Roman"/>
          <w:sz w:val="24"/>
          <w:szCs w:val="24"/>
        </w:rPr>
      </w:pPr>
    </w:p>
    <w:p w:rsidR="009E03B4" w:rsidRPr="009342ED" w:rsidRDefault="009E03B4" w:rsidP="009E03B4">
      <w:pPr>
        <w:spacing w:line="240" w:lineRule="auto"/>
        <w:jc w:val="center"/>
        <w:rPr>
          <w:rFonts w:ascii="Times New Roman" w:hAnsi="Times New Roman" w:cs="Times New Roman"/>
          <w:sz w:val="24"/>
          <w:szCs w:val="24"/>
        </w:rPr>
      </w:pPr>
      <w:r w:rsidRPr="00E60E7F">
        <w:rPr>
          <w:noProof/>
          <w:lang w:eastAsia="es-EC"/>
        </w:rPr>
        <w:drawing>
          <wp:inline distT="0" distB="0" distL="0" distR="0">
            <wp:extent cx="4227830" cy="334200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7830" cy="3342005"/>
                    </a:xfrm>
                    <a:prstGeom prst="rect">
                      <a:avLst/>
                    </a:prstGeom>
                    <a:noFill/>
                    <a:ln>
                      <a:noFill/>
                    </a:ln>
                  </pic:spPr>
                </pic:pic>
              </a:graphicData>
            </a:graphic>
          </wp:inline>
        </w:drawing>
      </w:r>
    </w:p>
    <w:p w:rsidR="009E03B4" w:rsidRDefault="009E03B4" w:rsidP="009E03B4">
      <w:pPr>
        <w:spacing w:line="240" w:lineRule="auto"/>
        <w:jc w:val="both"/>
        <w:rPr>
          <w:rFonts w:ascii="Times New Roman" w:eastAsia="Times New Roman" w:hAnsi="Times New Roman" w:cs="Times New Roman"/>
          <w:sz w:val="24"/>
          <w:szCs w:val="24"/>
        </w:rPr>
      </w:pPr>
    </w:p>
    <w:p w:rsidR="009E03B4" w:rsidRPr="009342ED" w:rsidRDefault="009E03B4" w:rsidP="009E03B4">
      <w:pPr>
        <w:spacing w:line="240" w:lineRule="auto"/>
        <w:jc w:val="both"/>
        <w:rPr>
          <w:rFonts w:ascii="Times New Roman" w:hAnsi="Times New Roman" w:cs="Times New Roman"/>
          <w:sz w:val="24"/>
          <w:szCs w:val="24"/>
        </w:rPr>
      </w:pPr>
    </w:p>
    <w:p w:rsidR="009E03B4" w:rsidRPr="009342ED" w:rsidRDefault="009E03B4" w:rsidP="009E03B4">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904865" cy="3005455"/>
            <wp:effectExtent l="0" t="0" r="63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865" cy="3005455"/>
                    </a:xfrm>
                    <a:prstGeom prst="rect">
                      <a:avLst/>
                    </a:prstGeom>
                    <a:noFill/>
                    <a:ln>
                      <a:noFill/>
                    </a:ln>
                  </pic:spPr>
                </pic:pic>
              </a:graphicData>
            </a:graphic>
          </wp:inline>
        </w:drawing>
      </w:r>
    </w:p>
    <w:p w:rsidR="009E03B4" w:rsidRDefault="009E03B4" w:rsidP="009E03B4">
      <w:pPr>
        <w:spacing w:line="240" w:lineRule="auto"/>
        <w:jc w:val="center"/>
        <w:rPr>
          <w:rFonts w:ascii="Times New Roman" w:eastAsia="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Gráfico </w:t>
      </w:r>
      <w:r>
        <w:rPr>
          <w:rFonts w:ascii="Times New Roman" w:eastAsia="Times New Roman" w:hAnsi="Times New Roman" w:cs="Times New Roman"/>
          <w:sz w:val="24"/>
          <w:szCs w:val="24"/>
        </w:rPr>
        <w:t>17</w:t>
      </w:r>
      <w:r w:rsidRPr="009342ED">
        <w:rPr>
          <w:rFonts w:ascii="Times New Roman" w:eastAsia="Times New Roman" w:hAnsi="Times New Roman" w:cs="Times New Roman"/>
          <w:sz w:val="24"/>
          <w:szCs w:val="24"/>
        </w:rPr>
        <w:t>. Razón por la que no asiste (edad: 5-14)</w:t>
      </w:r>
      <w:r>
        <w:rPr>
          <w:rFonts w:ascii="Times New Roman" w:eastAsia="Times New Roman" w:hAnsi="Times New Roman" w:cs="Times New Roman"/>
          <w:sz w:val="24"/>
          <w:szCs w:val="24"/>
        </w:rPr>
        <w:t xml:space="preserve">. </w:t>
      </w:r>
      <w:r w:rsidRPr="00A2631B">
        <w:rPr>
          <w:rFonts w:ascii="Times New Roman" w:eastAsia="Times New Roman" w:hAnsi="Times New Roman" w:cs="Times New Roman"/>
          <w:sz w:val="24"/>
          <w:szCs w:val="24"/>
        </w:rPr>
        <w:t>Fuente: ENEMDU 2006 y 2015.</w:t>
      </w:r>
      <w:r>
        <w:rPr>
          <w:rFonts w:ascii="Times New Roman" w:eastAsia="Times New Roman" w:hAnsi="Times New Roman" w:cs="Times New Roman"/>
          <w:sz w:val="24"/>
          <w:szCs w:val="24"/>
        </w:rPr>
        <w:t xml:space="preserve"> </w:t>
      </w:r>
      <w:r>
        <w:rPr>
          <w:rFonts w:ascii="Times New Roman" w:hAnsi="Times New Roman" w:cs="Times New Roman"/>
          <w:sz w:val="24"/>
          <w:szCs w:val="24"/>
        </w:rPr>
        <w:t>Elaboración propia.</w:t>
      </w:r>
    </w:p>
    <w:p w:rsidR="009E03B4" w:rsidRPr="009342ED" w:rsidRDefault="009E03B4" w:rsidP="009E03B4">
      <w:pPr>
        <w:spacing w:line="240" w:lineRule="auto"/>
        <w:jc w:val="center"/>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hAnsi="Times New Roman" w:cs="Times New Roman"/>
          <w:sz w:val="24"/>
          <w:szCs w:val="24"/>
        </w:rPr>
        <w:t>El incremento en la matrícula está correlacionado con el descenso de la pobreza, razón principal por la que estudiantes no iban a clase y la cual también desciende.</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hAnsi="Times New Roman" w:cs="Times New Roman"/>
          <w:sz w:val="24"/>
          <w:szCs w:val="24"/>
        </w:rPr>
        <w:t>Los siguientes gráficos y tablas muestran un descenso en el número y porcentaje de estudiantes con edad entre 5 y 14 de edad que son pobres. El número de estudiantes que no son pobres se incrementa 46%.</w:t>
      </w:r>
    </w:p>
    <w:p w:rsidR="009E03B4" w:rsidRDefault="009E03B4" w:rsidP="009E03B4">
      <w:pPr>
        <w:spacing w:line="240" w:lineRule="auto"/>
        <w:jc w:val="center"/>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Tabla 4. Pobreza por ingresos (asiste a clases, edad: 5-14).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noProof/>
          <w:lang w:eastAsia="es-EC"/>
        </w:rPr>
        <w:drawing>
          <wp:inline distT="0" distB="0" distL="0" distR="0">
            <wp:extent cx="3879215" cy="1209675"/>
            <wp:effectExtent l="0" t="0" r="698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9215" cy="1209675"/>
                    </a:xfrm>
                    <a:prstGeom prst="rect">
                      <a:avLst/>
                    </a:prstGeom>
                    <a:noFill/>
                    <a:ln>
                      <a:noFill/>
                    </a:ln>
                  </pic:spPr>
                </pic:pic>
              </a:graphicData>
            </a:graphic>
          </wp:inline>
        </w:drawing>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Durante 2006, 46.24% de los estudiantes entre 5 y 14 años de edad que asistieron a clases se consideraron pobres mientras que durante 2015 el porcentaje equivalente fue 32.35%.</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867275" cy="255841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2558415"/>
                    </a:xfrm>
                    <a:prstGeom prst="rect">
                      <a:avLst/>
                    </a:prstGeom>
                    <a:noFill/>
                    <a:ln>
                      <a:noFill/>
                    </a:ln>
                  </pic:spPr>
                </pic:pic>
              </a:graphicData>
            </a:graphic>
          </wp:inline>
        </w:drawing>
      </w:r>
    </w:p>
    <w:p w:rsidR="009E03B4" w:rsidRDefault="009E03B4" w:rsidP="009E03B4">
      <w:pPr>
        <w:spacing w:line="240" w:lineRule="auto"/>
        <w:jc w:val="center"/>
        <w:rPr>
          <w:rFonts w:ascii="Times New Roman" w:eastAsia="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Gráfico 18. Pobreza por ingresos (asiste a clases, edad: 5-14).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center"/>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Tabla 5. Extrema pobreza por ingresos (asiste a clases, edad: 5-14).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noProof/>
          <w:lang w:eastAsia="es-EC"/>
        </w:rPr>
        <w:drawing>
          <wp:inline distT="0" distB="0" distL="0" distR="0">
            <wp:extent cx="4022725" cy="1209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2725" cy="1209675"/>
                    </a:xfrm>
                    <a:prstGeom prst="rect">
                      <a:avLst/>
                    </a:prstGeom>
                    <a:noFill/>
                    <a:ln>
                      <a:noFill/>
                    </a:ln>
                  </pic:spPr>
                </pic:pic>
              </a:graphicData>
            </a:graphic>
          </wp:inline>
        </w:drawing>
      </w: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Durante 2006, 21.95% de los estudiantes entre 5 y 14 años de edad que asistieron a clases se consideraron indigentes mientras que durante 2015 el porcentaje equivalente fue 12.41%.</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793615" cy="275145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3615" cy="2751455"/>
                    </a:xfrm>
                    <a:prstGeom prst="rect">
                      <a:avLst/>
                    </a:prstGeom>
                    <a:noFill/>
                    <a:ln>
                      <a:noFill/>
                    </a:ln>
                  </pic:spPr>
                </pic:pic>
              </a:graphicData>
            </a:graphic>
          </wp:inline>
        </w:drawing>
      </w:r>
    </w:p>
    <w:p w:rsidR="009E03B4" w:rsidRDefault="009E03B4" w:rsidP="009E03B4">
      <w:pPr>
        <w:spacing w:line="240" w:lineRule="auto"/>
        <w:jc w:val="center"/>
        <w:rPr>
          <w:rFonts w:ascii="Times New Roman" w:eastAsia="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19. Extrema pobreza por ingresos (asiste a clases, edad: 5-14).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Tabla 6. </w:t>
      </w:r>
      <w:r w:rsidRPr="009E7C51">
        <w:rPr>
          <w:rFonts w:ascii="Times New Roman" w:eastAsia="Times New Roman" w:hAnsi="Times New Roman" w:cs="Times New Roman"/>
          <w:sz w:val="24"/>
          <w:szCs w:val="24"/>
        </w:rPr>
        <w:t>Cómo se considera (asiste a clases, edad: 5-14)</w:t>
      </w:r>
      <w:r>
        <w:rPr>
          <w:rFonts w:ascii="Times New Roman" w:eastAsia="Times New Roman" w:hAnsi="Times New Roman" w:cs="Times New Roman"/>
          <w:sz w:val="24"/>
          <w:szCs w:val="24"/>
        </w:rPr>
        <w:t xml:space="preserve">. </w:t>
      </w:r>
      <w:r w:rsidRPr="00A2631B">
        <w:rPr>
          <w:rFonts w:ascii="Times New Roman" w:eastAsia="Times New Roman" w:hAnsi="Times New Roman" w:cs="Times New Roman"/>
          <w:sz w:val="24"/>
          <w:szCs w:val="24"/>
        </w:rPr>
        <w:t>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Pr="009342ED"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sidRPr="009E7C51">
        <w:rPr>
          <w:noProof/>
          <w:lang w:eastAsia="es-EC"/>
        </w:rPr>
        <w:drawing>
          <wp:inline distT="0" distB="0" distL="0" distR="0">
            <wp:extent cx="3637280" cy="221043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280" cy="2210435"/>
                    </a:xfrm>
                    <a:prstGeom prst="rect">
                      <a:avLst/>
                    </a:prstGeom>
                    <a:noFill/>
                    <a:ln>
                      <a:noFill/>
                    </a:ln>
                  </pic:spPr>
                </pic:pic>
              </a:graphicData>
            </a:graphic>
          </wp:inline>
        </w:drawing>
      </w:r>
    </w:p>
    <w:p w:rsidR="009E03B4" w:rsidRDefault="009E03B4" w:rsidP="009E03B4">
      <w:pPr>
        <w:spacing w:line="240" w:lineRule="auto"/>
        <w:jc w:val="both"/>
        <w:rPr>
          <w:rFonts w:ascii="Times New Roman" w:eastAsia="Times New Roman" w:hAnsi="Times New Roman" w:cs="Times New Roman"/>
          <w:sz w:val="24"/>
          <w:szCs w:val="24"/>
        </w:rPr>
      </w:pPr>
    </w:p>
    <w:p w:rsidR="009E03B4" w:rsidRPr="009342ED" w:rsidRDefault="009E03B4" w:rsidP="009E03B4">
      <w:pPr>
        <w:spacing w:line="240" w:lineRule="auto"/>
        <w:jc w:val="both"/>
        <w:rPr>
          <w:rFonts w:ascii="Times New Roman" w:hAnsi="Times New Roman" w:cs="Times New Roman"/>
          <w:sz w:val="24"/>
          <w:szCs w:val="24"/>
        </w:rPr>
      </w:pPr>
      <w:r w:rsidRPr="009342ED">
        <w:rPr>
          <w:rFonts w:ascii="Times New Roman" w:eastAsia="Times New Roman" w:hAnsi="Times New Roman" w:cs="Times New Roman"/>
          <w:sz w:val="24"/>
          <w:szCs w:val="24"/>
        </w:rPr>
        <w:t>Durante 2006 el por</w:t>
      </w:r>
      <w:r>
        <w:rPr>
          <w:rFonts w:ascii="Times New Roman" w:eastAsia="Times New Roman" w:hAnsi="Times New Roman" w:cs="Times New Roman"/>
          <w:sz w:val="24"/>
          <w:szCs w:val="24"/>
        </w:rPr>
        <w:t xml:space="preserve">centaje de los estudiantes entre </w:t>
      </w:r>
      <w:r w:rsidRPr="009342ED">
        <w:rPr>
          <w:rFonts w:ascii="Times New Roman" w:eastAsia="Times New Roman" w:hAnsi="Times New Roman" w:cs="Times New Roman"/>
          <w:sz w:val="24"/>
          <w:szCs w:val="24"/>
        </w:rPr>
        <w:t>5 y 1</w:t>
      </w:r>
      <w:r>
        <w:rPr>
          <w:rFonts w:ascii="Times New Roman" w:eastAsia="Times New Roman" w:hAnsi="Times New Roman" w:cs="Times New Roman"/>
          <w:sz w:val="24"/>
          <w:szCs w:val="24"/>
        </w:rPr>
        <w:t>4</w:t>
      </w:r>
      <w:r w:rsidRPr="009342ED">
        <w:rPr>
          <w:rFonts w:ascii="Times New Roman" w:eastAsia="Times New Roman" w:hAnsi="Times New Roman" w:cs="Times New Roman"/>
          <w:sz w:val="24"/>
          <w:szCs w:val="24"/>
        </w:rPr>
        <w:t xml:space="preserve"> años de edad</w:t>
      </w:r>
      <w:r>
        <w:rPr>
          <w:rFonts w:ascii="Times New Roman" w:eastAsia="Times New Roman" w:hAnsi="Times New Roman" w:cs="Times New Roman"/>
          <w:sz w:val="24"/>
          <w:szCs w:val="24"/>
        </w:rPr>
        <w:t xml:space="preserve"> fue</w:t>
      </w:r>
      <w:r w:rsidRPr="009342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8.43% indígena </w:t>
      </w:r>
      <w:r w:rsidRPr="009342ED">
        <w:rPr>
          <w:rFonts w:ascii="Times New Roman" w:eastAsia="Times New Roman" w:hAnsi="Times New Roman" w:cs="Times New Roman"/>
          <w:sz w:val="24"/>
          <w:szCs w:val="24"/>
        </w:rPr>
        <w:t>mientras que durante 2015</w:t>
      </w:r>
      <w:r>
        <w:rPr>
          <w:rFonts w:ascii="Times New Roman" w:eastAsia="Times New Roman" w:hAnsi="Times New Roman" w:cs="Times New Roman"/>
          <w:sz w:val="24"/>
          <w:szCs w:val="24"/>
        </w:rPr>
        <w:t>, con casi 100,000 más estudiantes indígenas,</w:t>
      </w:r>
      <w:r w:rsidRPr="009342ED">
        <w:rPr>
          <w:rFonts w:ascii="Times New Roman" w:eastAsia="Times New Roman" w:hAnsi="Times New Roman" w:cs="Times New Roman"/>
          <w:sz w:val="24"/>
          <w:szCs w:val="24"/>
        </w:rPr>
        <w:t xml:space="preserve"> el porcentaje fue </w:t>
      </w:r>
      <w:r>
        <w:rPr>
          <w:rFonts w:ascii="Times New Roman" w:eastAsia="Times New Roman" w:hAnsi="Times New Roman" w:cs="Times New Roman"/>
          <w:sz w:val="24"/>
          <w:szCs w:val="24"/>
        </w:rPr>
        <w:t>10.24</w:t>
      </w:r>
      <w:r w:rsidRPr="009342ED">
        <w:rPr>
          <w:rFonts w:ascii="Times New Roman" w:eastAsia="Times New Roman" w:hAnsi="Times New Roman" w:cs="Times New Roman"/>
          <w:sz w:val="24"/>
          <w:szCs w:val="24"/>
        </w:rPr>
        <w:t>%.</w:t>
      </w: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sidRPr="009E7C51">
        <w:rPr>
          <w:noProof/>
          <w:lang w:eastAsia="es-EC"/>
        </w:rPr>
        <w:lastRenderedPageBreak/>
        <w:drawing>
          <wp:inline distT="0" distB="0" distL="0" distR="0">
            <wp:extent cx="5860415" cy="3093085"/>
            <wp:effectExtent l="0" t="0" r="6985" b="1206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Gráfico 20</w:t>
      </w:r>
      <w:r>
        <w:rPr>
          <w:rFonts w:ascii="Times New Roman" w:eastAsia="Times New Roman" w:hAnsi="Times New Roman" w:cs="Times New Roman"/>
          <w:sz w:val="24"/>
          <w:szCs w:val="24"/>
        </w:rPr>
        <w:t xml:space="preserve">. </w:t>
      </w:r>
      <w:r w:rsidRPr="009E7C51">
        <w:rPr>
          <w:rFonts w:ascii="Times New Roman" w:eastAsia="Times New Roman" w:hAnsi="Times New Roman" w:cs="Times New Roman"/>
          <w:sz w:val="24"/>
          <w:szCs w:val="24"/>
        </w:rPr>
        <w:t>Cómo se considera (asiste a clases, edad: 5-14)</w:t>
      </w:r>
      <w:r>
        <w:rPr>
          <w:rFonts w:ascii="Times New Roman" w:eastAsia="Times New Roman" w:hAnsi="Times New Roman" w:cs="Times New Roman"/>
          <w:sz w:val="24"/>
          <w:szCs w:val="24"/>
        </w:rPr>
        <w:t xml:space="preserve">. </w:t>
      </w:r>
      <w:r w:rsidRPr="00A2631B">
        <w:rPr>
          <w:rFonts w:ascii="Times New Roman" w:eastAsia="Times New Roman" w:hAnsi="Times New Roman" w:cs="Times New Roman"/>
          <w:sz w:val="24"/>
          <w:szCs w:val="24"/>
        </w:rPr>
        <w:t>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eastAsia="Times New Roman" w:hAnsi="Times New Roman" w:cs="Times New Roman"/>
          <w:sz w:val="24"/>
          <w:szCs w:val="24"/>
        </w:rPr>
      </w:pPr>
    </w:p>
    <w:p w:rsidR="009E03B4" w:rsidRDefault="009E03B4" w:rsidP="009E03B4">
      <w:pPr>
        <w:spacing w:line="240" w:lineRule="auto"/>
        <w:jc w:val="both"/>
        <w:rPr>
          <w:rFonts w:ascii="Times New Roman" w:eastAsia="Times New Roman" w:hAnsi="Times New Roman" w:cs="Times New Roman"/>
          <w:sz w:val="24"/>
          <w:szCs w:val="24"/>
        </w:rPr>
      </w:pPr>
    </w:p>
    <w:p w:rsidR="009E03B4" w:rsidRPr="009342ED" w:rsidRDefault="009E03B4" w:rsidP="009E03B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El acceso a la educación general básica pública ha incrementado sustancialmente. </w:t>
      </w:r>
      <w:r w:rsidRPr="009342ED">
        <w:rPr>
          <w:rFonts w:ascii="Times New Roman" w:eastAsia="Times New Roman" w:hAnsi="Times New Roman" w:cs="Times New Roman"/>
          <w:sz w:val="24"/>
          <w:szCs w:val="24"/>
        </w:rPr>
        <w:t xml:space="preserve">Durante 2006, 72.75% de los estudiantes entre 5 y 14 años de edad se matriculó - y asistió - </w:t>
      </w:r>
      <w:r>
        <w:rPr>
          <w:rFonts w:ascii="Times New Roman" w:eastAsia="Times New Roman" w:hAnsi="Times New Roman" w:cs="Times New Roman"/>
          <w:sz w:val="24"/>
          <w:szCs w:val="24"/>
        </w:rPr>
        <w:t>a</w:t>
      </w:r>
      <w:r w:rsidRPr="009342ED">
        <w:rPr>
          <w:rFonts w:ascii="Times New Roman" w:eastAsia="Times New Roman" w:hAnsi="Times New Roman" w:cs="Times New Roman"/>
          <w:sz w:val="24"/>
          <w:szCs w:val="24"/>
        </w:rPr>
        <w:t xml:space="preserve"> escuelas fiscales</w:t>
      </w:r>
      <w:r>
        <w:rPr>
          <w:rFonts w:ascii="Times New Roman" w:eastAsia="Times New Roman" w:hAnsi="Times New Roman" w:cs="Times New Roman"/>
          <w:sz w:val="24"/>
          <w:szCs w:val="24"/>
        </w:rPr>
        <w:t>,</w:t>
      </w:r>
      <w:r w:rsidRPr="009342ED">
        <w:rPr>
          <w:rFonts w:ascii="Times New Roman" w:eastAsia="Times New Roman" w:hAnsi="Times New Roman" w:cs="Times New Roman"/>
          <w:sz w:val="24"/>
          <w:szCs w:val="24"/>
        </w:rPr>
        <w:t xml:space="preserve"> mientras que durante 2015 el p</w:t>
      </w:r>
      <w:r>
        <w:rPr>
          <w:rFonts w:ascii="Times New Roman" w:eastAsia="Times New Roman" w:hAnsi="Times New Roman" w:cs="Times New Roman"/>
          <w:sz w:val="24"/>
          <w:szCs w:val="24"/>
        </w:rPr>
        <w:t>orcentaje equivalente fue 80.83%, con un aumento de casi 600,000 estudiantes en el sistema público fiscal a nivel de educación general básica</w:t>
      </w:r>
      <w:r w:rsidRPr="009342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Este es un incremento de 29% en el número de estudiantes de educación general básica pública. El incremento en el acceso al derecho a la educación estuvo conducido por el sector público, incluso absorbiendo buena parte de la carga del sector particular.</w:t>
      </w:r>
    </w:p>
    <w:p w:rsidR="009E03B4" w:rsidRDefault="009E03B4" w:rsidP="009E03B4">
      <w:pPr>
        <w:spacing w:line="240" w:lineRule="auto"/>
        <w:jc w:val="both"/>
        <w:rPr>
          <w:rFonts w:ascii="Times New Roman" w:eastAsia="Times New Roman" w:hAnsi="Times New Roman" w:cs="Times New Roman"/>
          <w:sz w:val="24"/>
          <w:szCs w:val="24"/>
        </w:rPr>
      </w:pPr>
    </w:p>
    <w:p w:rsidR="009E03B4" w:rsidRPr="009342ED" w:rsidRDefault="009E03B4" w:rsidP="009E03B4">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Tabla 7.</w:t>
      </w:r>
      <w:r w:rsidRPr="009342ED">
        <w:rPr>
          <w:rFonts w:ascii="Times New Roman" w:eastAsia="Times New Roman" w:hAnsi="Times New Roman" w:cs="Times New Roman"/>
          <w:sz w:val="24"/>
          <w:szCs w:val="24"/>
        </w:rPr>
        <w:t xml:space="preserve"> El establecimiento donde se matriculó e</w:t>
      </w:r>
      <w:r>
        <w:rPr>
          <w:rFonts w:ascii="Times New Roman" w:eastAsia="Times New Roman" w:hAnsi="Times New Roman" w:cs="Times New Roman"/>
          <w:sz w:val="24"/>
          <w:szCs w:val="24"/>
        </w:rPr>
        <w:t xml:space="preserve">s (asiste a clases, edad: 5-14). </w:t>
      </w:r>
      <w:r w:rsidRPr="00A2631B">
        <w:rPr>
          <w:rFonts w:ascii="Times New Roman" w:eastAsia="Times New Roman" w:hAnsi="Times New Roman" w:cs="Times New Roman"/>
          <w:sz w:val="24"/>
          <w:szCs w:val="24"/>
        </w:rPr>
        <w:t>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sidRPr="00FE5E29">
        <w:rPr>
          <w:noProof/>
          <w:lang w:eastAsia="es-EC"/>
        </w:rPr>
        <w:drawing>
          <wp:inline distT="0" distB="0" distL="0" distR="0">
            <wp:extent cx="4723765" cy="141033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3765" cy="1410335"/>
                    </a:xfrm>
                    <a:prstGeom prst="rect">
                      <a:avLst/>
                    </a:prstGeom>
                    <a:noFill/>
                    <a:ln>
                      <a:noFill/>
                    </a:ln>
                  </pic:spPr>
                </pic:pic>
              </a:graphicData>
            </a:graphic>
          </wp:inline>
        </w:drawing>
      </w:r>
    </w:p>
    <w:p w:rsidR="009E03B4" w:rsidRPr="009342ED" w:rsidRDefault="009E03B4" w:rsidP="009E03B4">
      <w:pPr>
        <w:spacing w:line="240" w:lineRule="auto"/>
        <w:jc w:val="both"/>
        <w:rPr>
          <w:rFonts w:ascii="Times New Roman" w:hAnsi="Times New Roman" w:cs="Times New Roman"/>
          <w:sz w:val="24"/>
          <w:szCs w:val="24"/>
        </w:rPr>
      </w:pPr>
    </w:p>
    <w:p w:rsidR="009E03B4" w:rsidRPr="009342ED"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hAnsi="Times New Roman" w:cs="Times New Roman"/>
          <w:sz w:val="24"/>
          <w:szCs w:val="24"/>
        </w:rPr>
        <w:t>El bachillerato general unificado comprende tres años de educación obligatoria después de la educación general básica. Tiene como propósito brindar a las personas una formación general y una preparación interdisciplinaria que las guíe para la elaboración de proyectos de vida y para integrarse a la sociedad como seres humanos responsables, críticos y solidarios. Desarrolla en los y las estudiantes capacidades permanentes de aprendizaje y competencias ciudadanas, y los prepara para el trabajo, el emprendimiento, y para el acceso a la educación superior (LOEI, Art. 43). En este nivel se han eliminado o reducido varias barreras de entrada, principalmente la falta de recursos económicos y el trabajo.</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8. Razón por la que no asiste (edad: 15-17).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noProof/>
          <w:lang w:eastAsia="es-EC"/>
        </w:rPr>
        <w:drawing>
          <wp:inline distT="0" distB="0" distL="0" distR="0">
            <wp:extent cx="4670425" cy="36042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0425" cy="3604260"/>
                    </a:xfrm>
                    <a:prstGeom prst="rect">
                      <a:avLst/>
                    </a:prstGeom>
                    <a:noFill/>
                    <a:ln>
                      <a:noFill/>
                    </a:ln>
                  </pic:spPr>
                </pic:pic>
              </a:graphicData>
            </a:graphic>
          </wp:inline>
        </w:drawing>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6019165" cy="3063240"/>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165" cy="3063240"/>
                    </a:xfrm>
                    <a:prstGeom prst="rect">
                      <a:avLst/>
                    </a:prstGeom>
                    <a:noFill/>
                    <a:ln>
                      <a:noFill/>
                    </a:ln>
                  </pic:spPr>
                </pic:pic>
              </a:graphicData>
            </a:graphic>
          </wp:inline>
        </w:drawing>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21. Razón por la que no asiste (edad: 15-17).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Como podemos observar en la tabla y el gráfico a continuación, durante 2006, 33.28% de los estudiantes entre 15 y 17 años de edad que asistieron a clases eran pobres mientras que durante 2015 el porcentaje equivalente fue 26.03%. El número de estudiantes fuera de la pobreza se incrementó en 47%. Más adelante veremos evidencia de que éste es un factor no solo de acceso sino de calidad de la educación.</w:t>
      </w:r>
    </w:p>
    <w:p w:rsidR="009E03B4" w:rsidRDefault="009E03B4" w:rsidP="009E03B4">
      <w:pPr>
        <w:spacing w:line="240" w:lineRule="auto"/>
        <w:jc w:val="both"/>
        <w:rPr>
          <w:rFonts w:ascii="Times New Roman" w:eastAsia="Times New Roman" w:hAnsi="Times New Roman" w:cs="Times New Roman"/>
          <w:sz w:val="24"/>
          <w:szCs w:val="24"/>
          <w:highlight w:val="white"/>
        </w:rPr>
      </w:pPr>
    </w:p>
    <w:p w:rsidR="009E03B4" w:rsidRDefault="009E03B4" w:rsidP="009E03B4">
      <w:pPr>
        <w:spacing w:line="240" w:lineRule="auto"/>
        <w:jc w:val="center"/>
        <w:rPr>
          <w:rFonts w:ascii="Times New Roman" w:eastAsia="Times New Roman" w:hAnsi="Times New Roman" w:cs="Times New Roman"/>
          <w:sz w:val="24"/>
          <w:szCs w:val="24"/>
          <w:highlight w:val="white"/>
        </w:rPr>
      </w:pPr>
    </w:p>
    <w:p w:rsidR="009E03B4" w:rsidRDefault="009E03B4" w:rsidP="009E03B4">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highlight w:val="white"/>
        </w:rPr>
        <w:t>Tabl</w:t>
      </w:r>
      <w:r>
        <w:rPr>
          <w:rFonts w:ascii="Times New Roman" w:eastAsia="Times New Roman" w:hAnsi="Times New Roman" w:cs="Times New Roman"/>
          <w:sz w:val="24"/>
          <w:szCs w:val="24"/>
        </w:rPr>
        <w:t>a 9. Pobreza por ingresos (asiste a clases, edad: 15-17).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noProof/>
          <w:lang w:eastAsia="es-EC"/>
        </w:rPr>
        <w:drawing>
          <wp:inline distT="0" distB="0" distL="0" distR="0">
            <wp:extent cx="4022725" cy="1209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2725" cy="1209675"/>
                    </a:xfrm>
                    <a:prstGeom prst="rect">
                      <a:avLst/>
                    </a:prstGeom>
                    <a:noFill/>
                    <a:ln>
                      <a:noFill/>
                    </a:ln>
                  </pic:spPr>
                </pic:pic>
              </a:graphicData>
            </a:graphic>
          </wp:inline>
        </w:drawing>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244465" cy="26816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4465" cy="2681605"/>
                    </a:xfrm>
                    <a:prstGeom prst="rect">
                      <a:avLst/>
                    </a:prstGeom>
                    <a:noFill/>
                    <a:ln>
                      <a:noFill/>
                    </a:ln>
                  </pic:spPr>
                </pic:pic>
              </a:graphicData>
            </a:graphic>
          </wp:inline>
        </w:drawing>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22. Pobreza por ingresos (asiste a clases, edad: 15-17).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center"/>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En la próxima tabla y gráfico observamos que durante 2006, 13.69% de los estudiantes entre 15 y 17 años de edad que asistieron a clases se consideraron indigentes mientras que durante 2015 el porcentaje equivalente fue 9.19%. El número de estudiantes fuera de la indigencia aumentó en 40%.  </w:t>
      </w:r>
    </w:p>
    <w:p w:rsidR="009E03B4" w:rsidRDefault="009E03B4" w:rsidP="009E03B4">
      <w:pPr>
        <w:spacing w:line="240" w:lineRule="auto"/>
        <w:jc w:val="center"/>
        <w:rPr>
          <w:rFonts w:ascii="Times New Roman" w:hAnsi="Times New Roman" w:cs="Times New Roman"/>
          <w:sz w:val="24"/>
          <w:szCs w:val="24"/>
        </w:rPr>
      </w:pPr>
    </w:p>
    <w:p w:rsidR="009E03B4" w:rsidRPr="009342ED" w:rsidRDefault="009E03B4" w:rsidP="009E03B4">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highlight w:val="white"/>
        </w:rPr>
        <w:t xml:space="preserve">Tabla 10. </w:t>
      </w:r>
      <w:r>
        <w:rPr>
          <w:rFonts w:ascii="Times New Roman" w:eastAsia="Times New Roman" w:hAnsi="Times New Roman" w:cs="Times New Roman"/>
          <w:sz w:val="24"/>
          <w:szCs w:val="24"/>
        </w:rPr>
        <w:t>Extrema pobreza por ingresos (asiste a clases, edad: 15-17). Fuente: ENEMDU 2006 y 2015.</w:t>
      </w:r>
      <w:r w:rsidRPr="00121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9E03B4" w:rsidRDefault="009E03B4" w:rsidP="009E03B4">
      <w:pPr>
        <w:spacing w:line="240" w:lineRule="auto"/>
        <w:jc w:val="center"/>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center"/>
        <w:rPr>
          <w:rFonts w:ascii="Times New Roman" w:hAnsi="Times New Roman" w:cs="Times New Roman"/>
          <w:sz w:val="24"/>
          <w:szCs w:val="24"/>
        </w:rPr>
      </w:pPr>
      <w:r>
        <w:rPr>
          <w:noProof/>
          <w:lang w:eastAsia="es-EC"/>
        </w:rPr>
        <w:drawing>
          <wp:inline distT="0" distB="0" distL="0" distR="0">
            <wp:extent cx="4022725" cy="1209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2725" cy="1209675"/>
                    </a:xfrm>
                    <a:prstGeom prst="rect">
                      <a:avLst/>
                    </a:prstGeom>
                    <a:noFill/>
                    <a:ln>
                      <a:noFill/>
                    </a:ln>
                  </pic:spPr>
                </pic:pic>
              </a:graphicData>
            </a:graphic>
          </wp:inline>
        </w:drawing>
      </w: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9E03B4" w:rsidRDefault="009E03B4" w:rsidP="009E03B4">
      <w:pPr>
        <w:spacing w:line="240" w:lineRule="auto"/>
        <w:jc w:val="both"/>
        <w:rPr>
          <w:rFonts w:ascii="Times New Roman" w:hAnsi="Times New Roman" w:cs="Times New Roman"/>
          <w:sz w:val="24"/>
          <w:szCs w:val="24"/>
        </w:rPr>
      </w:pP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655A68"/>
    <w:rsid w:val="00691D32"/>
    <w:rsid w:val="009E03B4"/>
    <w:rsid w:val="00B33AD2"/>
    <w:rsid w:val="00BF442D"/>
    <w:rsid w:val="00CB4C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chart" Target="charts/chart1.xml"/><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1.emf"/><Relationship Id="rId10" Type="http://schemas.openxmlformats.org/officeDocument/2006/relationships/image" Target="media/image7.emf"/><Relationship Id="rId19" Type="http://schemas.openxmlformats.org/officeDocument/2006/relationships/image" Target="media/image15.em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fstathios\Desktop\book\total%20provincias%20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'39'!$B$3:$C$3</c:f>
              <c:strCache>
                <c:ptCount val="1"/>
                <c:pt idx="0">
                  <c:v>2006</c:v>
                </c:pt>
              </c:strCache>
            </c:strRef>
          </c:tx>
          <c:spPr>
            <a:solidFill>
              <a:schemeClr val="accent1"/>
            </a:solidFill>
            <a:ln>
              <a:noFill/>
            </a:ln>
            <a:effectLst/>
          </c:spPr>
          <c:invertIfNegative val="0"/>
          <c:dLbls>
            <c:dLbl>
              <c:idx val="0"/>
              <c:layout>
                <c:manualLayout>
                  <c:x val="-9.324009324009324E-3"/>
                  <c:y val="8.346373172259283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986013986013986E-2"/>
                  <c:y val="4.173186586129565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33854926890372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25195597583889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50391195167779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503911951677792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324009324009409E-3"/>
                  <c:y val="1.251955975838877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6317016317016316E-2"/>
                  <c:y val="-7.65075369241149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'39'!$A$5:$A$12</c:f>
              <c:strCache>
                <c:ptCount val="8"/>
                <c:pt idx="0">
                  <c:v>Indigena</c:v>
                </c:pt>
                <c:pt idx="1">
                  <c:v>Afroecuatoriano</c:v>
                </c:pt>
                <c:pt idx="2">
                  <c:v>Blanco</c:v>
                </c:pt>
                <c:pt idx="3">
                  <c:v>Mestizo</c:v>
                </c:pt>
                <c:pt idx="4">
                  <c:v>Negro</c:v>
                </c:pt>
                <c:pt idx="5">
                  <c:v>Mulato</c:v>
                </c:pt>
                <c:pt idx="6">
                  <c:v>Montubio</c:v>
                </c:pt>
                <c:pt idx="7">
                  <c:v>Otro</c:v>
                </c:pt>
              </c:strCache>
            </c:strRef>
          </c:cat>
          <c:val>
            <c:numRef>
              <c:f>'39'!$C$5:$C$12</c:f>
              <c:numCache>
                <c:formatCode>0.00%</c:formatCode>
                <c:ptCount val="8"/>
                <c:pt idx="0">
                  <c:v>8.4294514160355882E-2</c:v>
                </c:pt>
                <c:pt idx="1">
                  <c:v>0</c:v>
                </c:pt>
                <c:pt idx="2">
                  <c:v>5.0464051322496914E-2</c:v>
                </c:pt>
                <c:pt idx="3">
                  <c:v>0.82469117347390597</c:v>
                </c:pt>
                <c:pt idx="4">
                  <c:v>2.5070003775488237E-2</c:v>
                </c:pt>
                <c:pt idx="5">
                  <c:v>1.5377006237752035E-2</c:v>
                </c:pt>
                <c:pt idx="6">
                  <c:v>0</c:v>
                </c:pt>
                <c:pt idx="7">
                  <c:v>1.0325103000088472E-4</c:v>
                </c:pt>
              </c:numCache>
            </c:numRef>
          </c:val>
        </c:ser>
        <c:ser>
          <c:idx val="1"/>
          <c:order val="1"/>
          <c:tx>
            <c:strRef>
              <c:f>'39'!$D$3:$E$3</c:f>
              <c:strCache>
                <c:ptCount val="1"/>
                <c:pt idx="0">
                  <c:v>2015</c:v>
                </c:pt>
              </c:strCache>
            </c:strRef>
          </c:tx>
          <c:spPr>
            <a:solidFill>
              <a:schemeClr val="accent2"/>
            </a:solidFill>
            <a:ln>
              <a:noFill/>
            </a:ln>
            <a:effectLst/>
          </c:spPr>
          <c:invertIfNegative val="0"/>
          <c:dLbls>
            <c:dLbl>
              <c:idx val="0"/>
              <c:layout>
                <c:manualLayout>
                  <c:x val="0"/>
                  <c:y val="-2.50391195167778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33854926890371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655011655011613E-2"/>
                  <c:y val="8.346373172259283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986013986013986E-2"/>
                  <c:y val="8.346373172259283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655011655011656E-2"/>
                  <c:y val="1.251955975838892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9930069930070789E-3"/>
                  <c:y val="1.251955975838892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093819624754117E-16"/>
                  <c:y val="-1.669274634451856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648018648018648E-2"/>
                  <c:y val="-7.65075369241149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'39'!$A$5:$A$12</c:f>
              <c:strCache>
                <c:ptCount val="8"/>
                <c:pt idx="0">
                  <c:v>Indigena</c:v>
                </c:pt>
                <c:pt idx="1">
                  <c:v>Afroecuatoriano</c:v>
                </c:pt>
                <c:pt idx="2">
                  <c:v>Blanco</c:v>
                </c:pt>
                <c:pt idx="3">
                  <c:v>Mestizo</c:v>
                </c:pt>
                <c:pt idx="4">
                  <c:v>Negro</c:v>
                </c:pt>
                <c:pt idx="5">
                  <c:v>Mulato</c:v>
                </c:pt>
                <c:pt idx="6">
                  <c:v>Montubio</c:v>
                </c:pt>
                <c:pt idx="7">
                  <c:v>Otro</c:v>
                </c:pt>
              </c:strCache>
            </c:strRef>
          </c:cat>
          <c:val>
            <c:numRef>
              <c:f>'39'!$E$5:$E$12</c:f>
              <c:numCache>
                <c:formatCode>0.00%</c:formatCode>
                <c:ptCount val="8"/>
                <c:pt idx="0">
                  <c:v>0.10251714953259274</c:v>
                </c:pt>
                <c:pt idx="1">
                  <c:v>1.3391750399393703E-2</c:v>
                </c:pt>
                <c:pt idx="2">
                  <c:v>1.3991414842883236E-2</c:v>
                </c:pt>
                <c:pt idx="3">
                  <c:v>0.78969578748520142</c:v>
                </c:pt>
                <c:pt idx="4">
                  <c:v>2.0139367212345407E-2</c:v>
                </c:pt>
                <c:pt idx="5">
                  <c:v>1.349063620664564E-2</c:v>
                </c:pt>
                <c:pt idx="6">
                  <c:v>4.6629249376659694E-2</c:v>
                </c:pt>
                <c:pt idx="7">
                  <c:v>1.4464494427814971E-4</c:v>
                </c:pt>
              </c:numCache>
            </c:numRef>
          </c:val>
        </c:ser>
        <c:dLbls>
          <c:showLegendKey val="0"/>
          <c:showVal val="0"/>
          <c:showCatName val="0"/>
          <c:showSerName val="0"/>
          <c:showPercent val="0"/>
          <c:showBubbleSize val="0"/>
        </c:dLbls>
        <c:gapWidth val="219"/>
        <c:overlap val="-27"/>
        <c:axId val="1132162752"/>
        <c:axId val="1132154048"/>
      </c:barChart>
      <c:catAx>
        <c:axId val="11321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32154048"/>
        <c:crosses val="autoZero"/>
        <c:auto val="1"/>
        <c:lblAlgn val="ctr"/>
        <c:lblOffset val="100"/>
        <c:noMultiLvlLbl val="0"/>
      </c:catAx>
      <c:valAx>
        <c:axId val="1132154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3216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10</Pages>
  <Words>958</Words>
  <Characters>5275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2017-12-30T03:24:00Z</dcterms:created>
  <dcterms:modified xsi:type="dcterms:W3CDTF">2017-12-30T03:36:00Z</dcterms:modified>
</cp:coreProperties>
</file>