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AD2" w:rsidRDefault="00BF442D">
      <w:r w:rsidRPr="00BF442D">
        <w:rPr>
          <w:noProof/>
          <w:lang w:eastAsia="es-EC"/>
        </w:rPr>
        <w:drawing>
          <wp:inline distT="0" distB="0" distL="0" distR="0">
            <wp:extent cx="5400040" cy="7406783"/>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7406783"/>
                    </a:xfrm>
                    <a:prstGeom prst="rect">
                      <a:avLst/>
                    </a:prstGeom>
                    <a:noFill/>
                    <a:ln>
                      <a:noFill/>
                    </a:ln>
                  </pic:spPr>
                </pic:pic>
              </a:graphicData>
            </a:graphic>
          </wp:inline>
        </w:drawing>
      </w:r>
      <w:r w:rsidRPr="00BF442D">
        <w:rPr>
          <w:noProof/>
          <w:lang w:eastAsia="es-EC"/>
        </w:rPr>
        <w:lastRenderedPageBreak/>
        <w:drawing>
          <wp:inline distT="0" distB="0" distL="0" distR="0">
            <wp:extent cx="5400040" cy="7579300"/>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7579300"/>
                    </a:xfrm>
                    <a:prstGeom prst="rect">
                      <a:avLst/>
                    </a:prstGeom>
                    <a:noFill/>
                    <a:ln>
                      <a:noFill/>
                    </a:ln>
                  </pic:spPr>
                </pic:pic>
              </a:graphicData>
            </a:graphic>
          </wp:inline>
        </w:drawing>
      </w:r>
    </w:p>
    <w:p w:rsidR="00BF442D" w:rsidRDefault="00BF442D"/>
    <w:p w:rsidR="00BF442D" w:rsidRDefault="00BF442D"/>
    <w:p w:rsidR="00BF442D" w:rsidRDefault="00BF442D"/>
    <w:p w:rsidR="00BF442D" w:rsidRDefault="00BF442D"/>
    <w:p w:rsidR="00BF442D" w:rsidRDefault="00BF442D"/>
    <w:p w:rsidR="00BF442D" w:rsidRDefault="00BF442D">
      <w:r>
        <w:t xml:space="preserve">Ponencia presentada para en la Conferencia sobre el Atlas del derecho a la educación en los años de la Revolución Ciudadana, </w:t>
      </w:r>
      <w:r w:rsidR="000F4CBA">
        <w:t>Latacunga</w:t>
      </w:r>
      <w:r>
        <w:t xml:space="preserve">, </w:t>
      </w:r>
      <w:r w:rsidR="000F4CBA">
        <w:t>20</w:t>
      </w:r>
      <w:r>
        <w:t xml:space="preserve"> de Marzo, 2017</w:t>
      </w:r>
    </w:p>
    <w:p w:rsidR="000F4CBA" w:rsidRPr="001D0D7B" w:rsidRDefault="000F4CBA" w:rsidP="000F4CBA">
      <w:pPr>
        <w:numPr>
          <w:ilvl w:val="0"/>
          <w:numId w:val="2"/>
        </w:numPr>
        <w:spacing w:after="0" w:line="240" w:lineRule="auto"/>
        <w:jc w:val="both"/>
        <w:rPr>
          <w:rFonts w:ascii="Times New Roman" w:hAnsi="Times New Roman" w:cs="Times New Roman"/>
          <w:b/>
          <w:sz w:val="32"/>
          <w:szCs w:val="32"/>
        </w:rPr>
      </w:pPr>
      <w:r w:rsidRPr="001D0D7B">
        <w:rPr>
          <w:rFonts w:ascii="Times New Roman" w:hAnsi="Times New Roman" w:cs="Times New Roman"/>
          <w:b/>
          <w:sz w:val="32"/>
          <w:szCs w:val="32"/>
        </w:rPr>
        <w:t>El derecho a la educaci</w:t>
      </w:r>
      <w:r>
        <w:rPr>
          <w:rFonts w:ascii="Times New Roman" w:hAnsi="Times New Roman" w:cs="Times New Roman"/>
          <w:b/>
          <w:sz w:val="32"/>
          <w:szCs w:val="32"/>
        </w:rPr>
        <w:t>ón como eje del cambio de</w:t>
      </w:r>
      <w:r w:rsidRPr="001D0D7B">
        <w:rPr>
          <w:rFonts w:ascii="Times New Roman" w:hAnsi="Times New Roman" w:cs="Times New Roman"/>
          <w:b/>
          <w:sz w:val="32"/>
          <w:szCs w:val="32"/>
        </w:rPr>
        <w:t xml:space="preserve"> matriz productiva</w:t>
      </w:r>
      <w:r>
        <w:rPr>
          <w:rFonts w:ascii="Times New Roman" w:hAnsi="Times New Roman" w:cs="Times New Roman"/>
          <w:b/>
          <w:sz w:val="32"/>
          <w:szCs w:val="32"/>
        </w:rPr>
        <w:t xml:space="preserve"> y distributiva</w:t>
      </w:r>
    </w:p>
    <w:p w:rsidR="000F4CBA" w:rsidRPr="009342ED" w:rsidRDefault="000F4CBA" w:rsidP="000F4CBA">
      <w:pPr>
        <w:spacing w:line="240" w:lineRule="auto"/>
        <w:ind w:left="720"/>
        <w:jc w:val="both"/>
        <w:rPr>
          <w:rFonts w:ascii="Times New Roman" w:hAnsi="Times New Roman" w:cs="Times New Roman"/>
          <w:sz w:val="24"/>
          <w:szCs w:val="24"/>
        </w:rPr>
      </w:pPr>
    </w:p>
    <w:p w:rsidR="000F4CBA" w:rsidRPr="009342ED" w:rsidRDefault="000F4CBA" w:rsidP="000F4CBA">
      <w:pPr>
        <w:spacing w:line="240" w:lineRule="auto"/>
        <w:jc w:val="both"/>
        <w:rPr>
          <w:rFonts w:ascii="Times New Roman" w:hAnsi="Times New Roman" w:cs="Times New Roman"/>
          <w:sz w:val="24"/>
          <w:szCs w:val="24"/>
        </w:rPr>
      </w:pPr>
    </w:p>
    <w:p w:rsidR="000F4CBA" w:rsidRPr="009342ED" w:rsidRDefault="000F4CBA" w:rsidP="000F4CBA">
      <w:pPr>
        <w:spacing w:line="240" w:lineRule="auto"/>
        <w:jc w:val="both"/>
        <w:rPr>
          <w:rFonts w:ascii="Times New Roman" w:hAnsi="Times New Roman" w:cs="Times New Roman"/>
          <w:sz w:val="24"/>
          <w:szCs w:val="24"/>
        </w:rPr>
      </w:pPr>
      <w:r w:rsidRPr="009342ED">
        <w:rPr>
          <w:rFonts w:ascii="Times New Roman" w:hAnsi="Times New Roman" w:cs="Times New Roman"/>
          <w:sz w:val="24"/>
          <w:szCs w:val="24"/>
        </w:rPr>
        <w:t>Son tres las principales políticas de cambio de matriz productiva implementadas hasta el momento. La primera es tomar control de los recursos naturales no renovables, particularmente del secto</w:t>
      </w:r>
      <w:r>
        <w:rPr>
          <w:rFonts w:ascii="Times New Roman" w:hAnsi="Times New Roman" w:cs="Times New Roman"/>
          <w:sz w:val="24"/>
          <w:szCs w:val="24"/>
        </w:rPr>
        <w:t xml:space="preserve">r petrolero, para fortalecer </w:t>
      </w:r>
      <w:r w:rsidRPr="009342ED">
        <w:rPr>
          <w:rFonts w:ascii="Times New Roman" w:hAnsi="Times New Roman" w:cs="Times New Roman"/>
          <w:sz w:val="24"/>
          <w:szCs w:val="24"/>
        </w:rPr>
        <w:t>la autodeterminación del pueblo ecuatoriano de acuerdo al Artículo 1 de tanto el Pacto Internacional de Derechos Civiles y Políticos, como del Pacto Internacional de Derechos Económicos, Sociales y Culturales. Esto se hizo afirmando la propiedad del Estado sobre estos recursos en la Constitución del 2008. Bajo esta Constitución, la Ley de Hidrocarburos (2010) y la consecuente renegociación de contratos petroleros, se aumentó la capacidad del Estado en más de $19</w:t>
      </w:r>
      <w:r>
        <w:rPr>
          <w:rFonts w:ascii="Times New Roman" w:hAnsi="Times New Roman" w:cs="Times New Roman"/>
          <w:sz w:val="24"/>
          <w:szCs w:val="24"/>
        </w:rPr>
        <w:t>,</w:t>
      </w:r>
      <w:r w:rsidRPr="009342ED">
        <w:rPr>
          <w:rFonts w:ascii="Times New Roman" w:hAnsi="Times New Roman" w:cs="Times New Roman"/>
          <w:sz w:val="24"/>
          <w:szCs w:val="24"/>
        </w:rPr>
        <w:t xml:space="preserve">600 millones de dólares entre 2010 y 2013, dinero que de otra manera habría sido para las corporaciones multinacionales del petróleo (basado en cifras de Rentas Petroleras del Banco Mundial; Bárcena, Prado, Fuentes </w:t>
      </w:r>
      <w:r>
        <w:rPr>
          <w:rFonts w:ascii="Times New Roman" w:hAnsi="Times New Roman" w:cs="Times New Roman"/>
          <w:sz w:val="24"/>
          <w:szCs w:val="24"/>
        </w:rPr>
        <w:t>&amp;</w:t>
      </w:r>
      <w:r w:rsidRPr="009342ED">
        <w:rPr>
          <w:rFonts w:ascii="Times New Roman" w:hAnsi="Times New Roman" w:cs="Times New Roman"/>
          <w:sz w:val="24"/>
          <w:szCs w:val="24"/>
        </w:rPr>
        <w:t xml:space="preserve"> Pérez 2013: 15; Arroyo </w:t>
      </w:r>
      <w:r>
        <w:rPr>
          <w:rFonts w:ascii="Times New Roman" w:hAnsi="Times New Roman" w:cs="Times New Roman"/>
          <w:sz w:val="24"/>
          <w:szCs w:val="24"/>
        </w:rPr>
        <w:t>&amp;</w:t>
      </w:r>
      <w:r w:rsidRPr="009342ED">
        <w:rPr>
          <w:rFonts w:ascii="Times New Roman" w:hAnsi="Times New Roman" w:cs="Times New Roman"/>
          <w:sz w:val="24"/>
          <w:szCs w:val="24"/>
        </w:rPr>
        <w:t xml:space="preserve"> Cossío</w:t>
      </w:r>
      <w:r>
        <w:rPr>
          <w:rFonts w:ascii="Times New Roman" w:hAnsi="Times New Roman" w:cs="Times New Roman"/>
          <w:sz w:val="24"/>
          <w:szCs w:val="24"/>
        </w:rPr>
        <w:t>,</w:t>
      </w:r>
      <w:r w:rsidRPr="009342ED">
        <w:rPr>
          <w:rFonts w:ascii="Times New Roman" w:hAnsi="Times New Roman" w:cs="Times New Roman"/>
          <w:sz w:val="24"/>
          <w:szCs w:val="24"/>
        </w:rPr>
        <w:t xml:space="preserve"> 2015: 36; </w:t>
      </w:r>
      <w:proofErr w:type="spellStart"/>
      <w:r w:rsidRPr="009342ED">
        <w:rPr>
          <w:rFonts w:ascii="Times New Roman" w:hAnsi="Times New Roman" w:cs="Times New Roman"/>
          <w:sz w:val="24"/>
          <w:szCs w:val="24"/>
        </w:rPr>
        <w:t>Altomonte</w:t>
      </w:r>
      <w:proofErr w:type="spellEnd"/>
      <w:r w:rsidRPr="009342ED">
        <w:rPr>
          <w:rFonts w:ascii="Times New Roman" w:hAnsi="Times New Roman" w:cs="Times New Roman"/>
          <w:sz w:val="24"/>
          <w:szCs w:val="24"/>
        </w:rPr>
        <w:t xml:space="preserve"> </w:t>
      </w:r>
      <w:r>
        <w:rPr>
          <w:rFonts w:ascii="Times New Roman" w:hAnsi="Times New Roman" w:cs="Times New Roman"/>
          <w:sz w:val="24"/>
          <w:szCs w:val="24"/>
        </w:rPr>
        <w:t>&amp;</w:t>
      </w:r>
      <w:r w:rsidRPr="009342ED">
        <w:rPr>
          <w:rFonts w:ascii="Times New Roman" w:hAnsi="Times New Roman" w:cs="Times New Roman"/>
          <w:sz w:val="24"/>
          <w:szCs w:val="24"/>
        </w:rPr>
        <w:t xml:space="preserve"> Sánchez</w:t>
      </w:r>
      <w:r>
        <w:rPr>
          <w:rFonts w:ascii="Times New Roman" w:hAnsi="Times New Roman" w:cs="Times New Roman"/>
          <w:sz w:val="24"/>
          <w:szCs w:val="24"/>
        </w:rPr>
        <w:t>,</w:t>
      </w:r>
      <w:r w:rsidRPr="009342ED">
        <w:rPr>
          <w:rFonts w:ascii="Times New Roman" w:hAnsi="Times New Roman" w:cs="Times New Roman"/>
          <w:sz w:val="24"/>
          <w:szCs w:val="24"/>
        </w:rPr>
        <w:t xml:space="preserve"> 2016: 181). Esto permitió al país realizar fuertes inversiones en infraestructura vial, tecnología, salud y educación, convirtiéndose en uno de los dos primeros países en inversión pública </w:t>
      </w:r>
      <w:r>
        <w:rPr>
          <w:rFonts w:ascii="Times New Roman" w:hAnsi="Times New Roman" w:cs="Times New Roman"/>
          <w:sz w:val="24"/>
          <w:szCs w:val="24"/>
        </w:rPr>
        <w:t xml:space="preserve">de la región </w:t>
      </w:r>
      <w:r w:rsidRPr="009342ED">
        <w:rPr>
          <w:rFonts w:ascii="Times New Roman" w:hAnsi="Times New Roman" w:cs="Times New Roman"/>
          <w:sz w:val="24"/>
          <w:szCs w:val="24"/>
        </w:rPr>
        <w:t>en términos proporcionales, junto con Bolivia (Bárcena</w:t>
      </w:r>
      <w:r>
        <w:rPr>
          <w:rFonts w:ascii="Times New Roman" w:hAnsi="Times New Roman" w:cs="Times New Roman"/>
          <w:sz w:val="24"/>
          <w:szCs w:val="24"/>
        </w:rPr>
        <w:t>,</w:t>
      </w:r>
      <w:r w:rsidRPr="009342ED">
        <w:rPr>
          <w:rFonts w:ascii="Times New Roman" w:hAnsi="Times New Roman" w:cs="Times New Roman"/>
          <w:sz w:val="24"/>
          <w:szCs w:val="24"/>
        </w:rPr>
        <w:t xml:space="preserve"> 2015). </w:t>
      </w:r>
    </w:p>
    <w:p w:rsidR="000F4CBA" w:rsidRPr="009342ED" w:rsidRDefault="000F4CBA" w:rsidP="000F4CBA">
      <w:pPr>
        <w:spacing w:line="240" w:lineRule="auto"/>
        <w:jc w:val="both"/>
        <w:rPr>
          <w:rFonts w:ascii="Times New Roman" w:hAnsi="Times New Roman" w:cs="Times New Roman"/>
          <w:sz w:val="24"/>
          <w:szCs w:val="24"/>
        </w:rPr>
      </w:pPr>
    </w:p>
    <w:p w:rsidR="000F4CBA" w:rsidRPr="009342ED" w:rsidRDefault="000F4CBA" w:rsidP="000F4CBA">
      <w:pPr>
        <w:spacing w:line="240" w:lineRule="auto"/>
        <w:jc w:val="both"/>
        <w:rPr>
          <w:rFonts w:ascii="Times New Roman" w:hAnsi="Times New Roman" w:cs="Times New Roman"/>
          <w:sz w:val="24"/>
          <w:szCs w:val="24"/>
        </w:rPr>
      </w:pPr>
      <w:r w:rsidRPr="009342ED">
        <w:rPr>
          <w:rFonts w:ascii="Times New Roman" w:hAnsi="Times New Roman" w:cs="Times New Roman"/>
          <w:sz w:val="24"/>
          <w:szCs w:val="24"/>
        </w:rPr>
        <w:t>Con más de 10</w:t>
      </w:r>
      <w:r>
        <w:rPr>
          <w:rFonts w:ascii="Times New Roman" w:hAnsi="Times New Roman" w:cs="Times New Roman"/>
          <w:sz w:val="24"/>
          <w:szCs w:val="24"/>
        </w:rPr>
        <w:t>,</w:t>
      </w:r>
      <w:r w:rsidRPr="009342ED">
        <w:rPr>
          <w:rFonts w:ascii="Times New Roman" w:hAnsi="Times New Roman" w:cs="Times New Roman"/>
          <w:sz w:val="24"/>
          <w:szCs w:val="24"/>
        </w:rPr>
        <w:t>000 kilómetros reconstruidos de red vial, el Ecuador pasa de estar entre los países con peor red vial a tener una de las mejores redes viales de América Latina (Foro Económico Mundial</w:t>
      </w:r>
      <w:r>
        <w:rPr>
          <w:rFonts w:ascii="Times New Roman" w:hAnsi="Times New Roman" w:cs="Times New Roman"/>
          <w:sz w:val="24"/>
          <w:szCs w:val="24"/>
        </w:rPr>
        <w:t>,</w:t>
      </w:r>
      <w:r w:rsidRPr="009342ED">
        <w:rPr>
          <w:rFonts w:ascii="Times New Roman" w:hAnsi="Times New Roman" w:cs="Times New Roman"/>
          <w:sz w:val="24"/>
          <w:szCs w:val="24"/>
        </w:rPr>
        <w:t xml:space="preserve"> 2016), pasando de 74% de su red vial en mal estado, a 95% en buen estado (Ministerio de Transporte y Obra Pública</w:t>
      </w:r>
      <w:r>
        <w:rPr>
          <w:rFonts w:ascii="Times New Roman" w:hAnsi="Times New Roman" w:cs="Times New Roman"/>
          <w:sz w:val="24"/>
          <w:szCs w:val="24"/>
        </w:rPr>
        <w:t>,</w:t>
      </w:r>
      <w:r w:rsidRPr="009342ED">
        <w:rPr>
          <w:rFonts w:ascii="Times New Roman" w:hAnsi="Times New Roman" w:cs="Times New Roman"/>
          <w:sz w:val="24"/>
          <w:szCs w:val="24"/>
        </w:rPr>
        <w:t xml:space="preserve"> 2015). Similares transformaciones ocurren en materia de infraestructura en salud y vivienda. La inversión en infraestructura de educación ha incluido la construcción e inauguración de 70 Escuelas del Milenio, 52 están en construcción, y se han implementado programas de repotenciación en las escuelas del país (</w:t>
      </w:r>
      <w:r>
        <w:rPr>
          <w:rFonts w:ascii="Times New Roman" w:hAnsi="Times New Roman" w:cs="Times New Roman"/>
          <w:sz w:val="24"/>
          <w:szCs w:val="24"/>
        </w:rPr>
        <w:t>Ministerio de Educación,</w:t>
      </w:r>
      <w:r w:rsidRPr="009342ED">
        <w:rPr>
          <w:rFonts w:ascii="Times New Roman" w:hAnsi="Times New Roman" w:cs="Times New Roman"/>
          <w:sz w:val="24"/>
          <w:szCs w:val="24"/>
        </w:rPr>
        <w:t xml:space="preserve"> 2016a; Min</w:t>
      </w:r>
      <w:r>
        <w:rPr>
          <w:rFonts w:ascii="Times New Roman" w:hAnsi="Times New Roman" w:cs="Times New Roman"/>
          <w:sz w:val="24"/>
          <w:szCs w:val="24"/>
        </w:rPr>
        <w:t>isterio de Educación,</w:t>
      </w:r>
      <w:r w:rsidRPr="009342ED">
        <w:rPr>
          <w:rFonts w:ascii="Times New Roman" w:hAnsi="Times New Roman" w:cs="Times New Roman"/>
          <w:sz w:val="24"/>
          <w:szCs w:val="24"/>
        </w:rPr>
        <w:t xml:space="preserve"> 2016b). También en respuesta al terremoto </w:t>
      </w:r>
      <w:r>
        <w:rPr>
          <w:rFonts w:ascii="Times New Roman" w:hAnsi="Times New Roman" w:cs="Times New Roman"/>
          <w:sz w:val="24"/>
          <w:szCs w:val="24"/>
        </w:rPr>
        <w:t xml:space="preserve">de 7.8 puntos en la escala de Richter </w:t>
      </w:r>
      <w:r w:rsidRPr="009342ED">
        <w:rPr>
          <w:rFonts w:ascii="Times New Roman" w:hAnsi="Times New Roman" w:cs="Times New Roman"/>
          <w:sz w:val="24"/>
          <w:szCs w:val="24"/>
        </w:rPr>
        <w:t>que impactó al Ecuador en abril del 2016, Ecuador se encuentra construyendo 257 nuevas escuelas en la</w:t>
      </w:r>
      <w:r>
        <w:rPr>
          <w:rFonts w:ascii="Times New Roman" w:hAnsi="Times New Roman" w:cs="Times New Roman"/>
          <w:sz w:val="24"/>
          <w:szCs w:val="24"/>
        </w:rPr>
        <w:t>s</w:t>
      </w:r>
      <w:r w:rsidRPr="009342ED">
        <w:rPr>
          <w:rFonts w:ascii="Times New Roman" w:hAnsi="Times New Roman" w:cs="Times New Roman"/>
          <w:sz w:val="24"/>
          <w:szCs w:val="24"/>
        </w:rPr>
        <w:t xml:space="preserve"> zona</w:t>
      </w:r>
      <w:r>
        <w:rPr>
          <w:rFonts w:ascii="Times New Roman" w:hAnsi="Times New Roman" w:cs="Times New Roman"/>
          <w:sz w:val="24"/>
          <w:szCs w:val="24"/>
        </w:rPr>
        <w:t>s afectadas</w:t>
      </w:r>
      <w:r w:rsidRPr="009342ED">
        <w:rPr>
          <w:rFonts w:ascii="Times New Roman" w:hAnsi="Times New Roman" w:cs="Times New Roman"/>
          <w:sz w:val="24"/>
          <w:szCs w:val="24"/>
        </w:rPr>
        <w:t xml:space="preserve"> (El Ciudadano</w:t>
      </w:r>
      <w:r>
        <w:rPr>
          <w:rFonts w:ascii="Times New Roman" w:hAnsi="Times New Roman" w:cs="Times New Roman"/>
          <w:sz w:val="24"/>
          <w:szCs w:val="24"/>
        </w:rPr>
        <w:t>,</w:t>
      </w:r>
      <w:r w:rsidRPr="009342ED">
        <w:rPr>
          <w:rFonts w:ascii="Times New Roman" w:hAnsi="Times New Roman" w:cs="Times New Roman"/>
          <w:sz w:val="24"/>
          <w:szCs w:val="24"/>
        </w:rPr>
        <w:t xml:space="preserve"> 2016).</w:t>
      </w:r>
    </w:p>
    <w:p w:rsidR="000F4CBA" w:rsidRPr="009342ED" w:rsidRDefault="000F4CBA" w:rsidP="000F4CBA">
      <w:pPr>
        <w:spacing w:line="240" w:lineRule="auto"/>
        <w:jc w:val="both"/>
        <w:rPr>
          <w:rFonts w:ascii="Times New Roman" w:hAnsi="Times New Roman" w:cs="Times New Roman"/>
          <w:sz w:val="24"/>
          <w:szCs w:val="24"/>
        </w:rPr>
      </w:pPr>
    </w:p>
    <w:p w:rsidR="000F4CBA" w:rsidRPr="009342ED" w:rsidRDefault="000F4CBA" w:rsidP="000F4CBA">
      <w:pPr>
        <w:spacing w:line="240" w:lineRule="auto"/>
        <w:jc w:val="both"/>
        <w:rPr>
          <w:rFonts w:ascii="Times New Roman" w:hAnsi="Times New Roman" w:cs="Times New Roman"/>
          <w:sz w:val="24"/>
          <w:szCs w:val="24"/>
        </w:rPr>
      </w:pPr>
      <w:r w:rsidRPr="009342ED">
        <w:rPr>
          <w:rFonts w:ascii="Times New Roman" w:hAnsi="Times New Roman" w:cs="Times New Roman"/>
          <w:sz w:val="24"/>
          <w:szCs w:val="24"/>
        </w:rPr>
        <w:t>La segunda política es el cambio de la matriz energética del Ecuador de una basada en hidrocarburos a una basada en energía hidroeléctrica. Para ello se han construido ocho  centrales hidroeléctricas principales que sustituyen el 85% del consumo eléctrico basado en la quema de combustibles fósil por consumo renovable logrando un 92% de consumo renovable del consumo total, lo cual permite dejar de emitir 8.2 millones de toneladas de CO</w:t>
      </w:r>
      <w:r w:rsidRPr="00CD2CA5">
        <w:rPr>
          <w:rFonts w:ascii="Times New Roman" w:hAnsi="Times New Roman" w:cs="Times New Roman"/>
          <w:sz w:val="24"/>
          <w:szCs w:val="24"/>
          <w:vertAlign w:val="subscript"/>
        </w:rPr>
        <w:t>2</w:t>
      </w:r>
      <w:r w:rsidRPr="009342ED">
        <w:rPr>
          <w:rFonts w:ascii="Times New Roman" w:hAnsi="Times New Roman" w:cs="Times New Roman"/>
          <w:sz w:val="24"/>
          <w:szCs w:val="24"/>
        </w:rPr>
        <w:t xml:space="preserve"> </w:t>
      </w:r>
      <w:r>
        <w:rPr>
          <w:rFonts w:ascii="Times New Roman" w:hAnsi="Times New Roman" w:cs="Times New Roman"/>
          <w:sz w:val="24"/>
          <w:szCs w:val="24"/>
        </w:rPr>
        <w:t xml:space="preserve">anuales </w:t>
      </w:r>
      <w:r w:rsidRPr="009342ED">
        <w:rPr>
          <w:rFonts w:ascii="Times New Roman" w:hAnsi="Times New Roman" w:cs="Times New Roman"/>
          <w:sz w:val="24"/>
          <w:szCs w:val="24"/>
        </w:rPr>
        <w:t>y dejar de importar aproximadamente $1</w:t>
      </w:r>
      <w:r>
        <w:rPr>
          <w:rFonts w:ascii="Times New Roman" w:hAnsi="Times New Roman" w:cs="Times New Roman"/>
          <w:sz w:val="24"/>
          <w:szCs w:val="24"/>
        </w:rPr>
        <w:t>,</w:t>
      </w:r>
      <w:r w:rsidRPr="009342ED">
        <w:rPr>
          <w:rFonts w:ascii="Times New Roman" w:hAnsi="Times New Roman" w:cs="Times New Roman"/>
          <w:sz w:val="24"/>
          <w:szCs w:val="24"/>
        </w:rPr>
        <w:t>000 millones al año en energía</w:t>
      </w:r>
      <w:r>
        <w:rPr>
          <w:rFonts w:ascii="Times New Roman" w:hAnsi="Times New Roman" w:cs="Times New Roman"/>
          <w:sz w:val="24"/>
          <w:szCs w:val="24"/>
        </w:rPr>
        <w:t xml:space="preserve"> principalmente proveniente de la quema de combustibles fósil</w:t>
      </w:r>
      <w:r w:rsidRPr="009342ED">
        <w:rPr>
          <w:rFonts w:ascii="Times New Roman" w:hAnsi="Times New Roman" w:cs="Times New Roman"/>
          <w:sz w:val="24"/>
          <w:szCs w:val="24"/>
        </w:rPr>
        <w:t xml:space="preserve"> (Constante, S.</w:t>
      </w:r>
      <w:r>
        <w:rPr>
          <w:rFonts w:ascii="Times New Roman" w:hAnsi="Times New Roman" w:cs="Times New Roman"/>
          <w:sz w:val="24"/>
          <w:szCs w:val="24"/>
        </w:rPr>
        <w:t>,</w:t>
      </w:r>
      <w:r w:rsidRPr="009342ED">
        <w:rPr>
          <w:rFonts w:ascii="Times New Roman" w:hAnsi="Times New Roman" w:cs="Times New Roman"/>
          <w:sz w:val="24"/>
          <w:szCs w:val="24"/>
        </w:rPr>
        <w:t xml:space="preserve"> 2016; Constante, J.</w:t>
      </w:r>
      <w:r>
        <w:rPr>
          <w:rFonts w:ascii="Times New Roman" w:hAnsi="Times New Roman" w:cs="Times New Roman"/>
          <w:sz w:val="24"/>
          <w:szCs w:val="24"/>
        </w:rPr>
        <w:t>,</w:t>
      </w:r>
      <w:r w:rsidRPr="009342ED">
        <w:rPr>
          <w:rFonts w:ascii="Times New Roman" w:hAnsi="Times New Roman" w:cs="Times New Roman"/>
          <w:sz w:val="24"/>
          <w:szCs w:val="24"/>
        </w:rPr>
        <w:t xml:space="preserve"> 2015; MEER</w:t>
      </w:r>
      <w:r>
        <w:rPr>
          <w:rFonts w:ascii="Times New Roman" w:hAnsi="Times New Roman" w:cs="Times New Roman"/>
          <w:sz w:val="24"/>
          <w:szCs w:val="24"/>
        </w:rPr>
        <w:t>,</w:t>
      </w:r>
      <w:r w:rsidRPr="009342ED">
        <w:rPr>
          <w:rFonts w:ascii="Times New Roman" w:hAnsi="Times New Roman" w:cs="Times New Roman"/>
          <w:sz w:val="24"/>
          <w:szCs w:val="24"/>
        </w:rPr>
        <w:t xml:space="preserve"> 2016; EC 486</w:t>
      </w:r>
      <w:r>
        <w:rPr>
          <w:rFonts w:ascii="Times New Roman" w:hAnsi="Times New Roman" w:cs="Times New Roman"/>
          <w:sz w:val="24"/>
          <w:szCs w:val="24"/>
        </w:rPr>
        <w:t>, 2016).</w:t>
      </w:r>
    </w:p>
    <w:p w:rsidR="000F4CBA" w:rsidRPr="009342ED" w:rsidRDefault="000F4CBA" w:rsidP="000F4CBA">
      <w:pPr>
        <w:spacing w:line="240" w:lineRule="auto"/>
        <w:jc w:val="both"/>
        <w:rPr>
          <w:rFonts w:ascii="Times New Roman" w:hAnsi="Times New Roman" w:cs="Times New Roman"/>
          <w:sz w:val="24"/>
          <w:szCs w:val="24"/>
        </w:rPr>
      </w:pPr>
    </w:p>
    <w:p w:rsidR="000F4CBA" w:rsidRPr="009342ED" w:rsidRDefault="000F4CBA" w:rsidP="000F4CBA">
      <w:pPr>
        <w:spacing w:line="240" w:lineRule="auto"/>
        <w:jc w:val="center"/>
        <w:rPr>
          <w:rFonts w:ascii="Times New Roman" w:hAnsi="Times New Roman" w:cs="Times New Roman"/>
          <w:sz w:val="24"/>
          <w:szCs w:val="24"/>
        </w:rPr>
      </w:pPr>
      <w:r w:rsidRPr="009342ED">
        <w:rPr>
          <w:rFonts w:ascii="Times New Roman" w:hAnsi="Times New Roman" w:cs="Times New Roman"/>
          <w:noProof/>
          <w:sz w:val="24"/>
          <w:szCs w:val="24"/>
          <w:lang w:eastAsia="es-EC"/>
        </w:rPr>
        <w:lastRenderedPageBreak/>
        <w:drawing>
          <wp:inline distT="0" distB="0" distL="0" distR="0">
            <wp:extent cx="3969385" cy="265303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9385" cy="2653030"/>
                    </a:xfrm>
                    <a:prstGeom prst="rect">
                      <a:avLst/>
                    </a:prstGeom>
                    <a:noFill/>
                    <a:ln>
                      <a:noFill/>
                    </a:ln>
                  </pic:spPr>
                </pic:pic>
              </a:graphicData>
            </a:graphic>
          </wp:inline>
        </w:drawing>
      </w:r>
    </w:p>
    <w:p w:rsidR="000F4CBA" w:rsidRDefault="000F4CBA" w:rsidP="000F4CBA">
      <w:pPr>
        <w:spacing w:line="240" w:lineRule="auto"/>
        <w:jc w:val="center"/>
        <w:rPr>
          <w:rFonts w:ascii="Times New Roman" w:hAnsi="Times New Roman" w:cs="Times New Roman"/>
          <w:sz w:val="24"/>
          <w:szCs w:val="24"/>
        </w:rPr>
      </w:pPr>
    </w:p>
    <w:p w:rsidR="000F4CBA" w:rsidRPr="009342ED" w:rsidRDefault="000F4CBA" w:rsidP="000F4CBA">
      <w:pPr>
        <w:spacing w:line="240" w:lineRule="auto"/>
        <w:jc w:val="center"/>
        <w:rPr>
          <w:rFonts w:ascii="Times New Roman" w:hAnsi="Times New Roman" w:cs="Times New Roman"/>
          <w:sz w:val="24"/>
          <w:szCs w:val="24"/>
        </w:rPr>
      </w:pPr>
      <w:r>
        <w:rPr>
          <w:rFonts w:ascii="Times New Roman" w:hAnsi="Times New Roman" w:cs="Times New Roman"/>
          <w:sz w:val="24"/>
          <w:szCs w:val="24"/>
        </w:rPr>
        <w:t>Gráfico 6</w:t>
      </w:r>
      <w:r w:rsidRPr="009342ED">
        <w:rPr>
          <w:rFonts w:ascii="Times New Roman" w:hAnsi="Times New Roman" w:cs="Times New Roman"/>
          <w:sz w:val="24"/>
          <w:szCs w:val="24"/>
        </w:rPr>
        <w:t xml:space="preserve">. Matriz energética del Ecuador. Fuente: </w:t>
      </w:r>
      <w:proofErr w:type="spellStart"/>
      <w:r w:rsidRPr="009342ED">
        <w:rPr>
          <w:rFonts w:ascii="Times New Roman" w:hAnsi="Times New Roman" w:cs="Times New Roman"/>
          <w:sz w:val="24"/>
          <w:szCs w:val="24"/>
        </w:rPr>
        <w:t>Senplades</w:t>
      </w:r>
      <w:proofErr w:type="spellEnd"/>
      <w:r w:rsidRPr="009342ED">
        <w:rPr>
          <w:rFonts w:ascii="Times New Roman" w:hAnsi="Times New Roman" w:cs="Times New Roman"/>
          <w:sz w:val="24"/>
          <w:szCs w:val="24"/>
        </w:rPr>
        <w:t>.</w:t>
      </w:r>
    </w:p>
    <w:p w:rsidR="000F4CBA" w:rsidRDefault="000F4CBA" w:rsidP="000F4CBA">
      <w:pPr>
        <w:spacing w:line="240" w:lineRule="auto"/>
        <w:jc w:val="both"/>
        <w:rPr>
          <w:rFonts w:ascii="Times New Roman" w:hAnsi="Times New Roman" w:cs="Times New Roman"/>
          <w:sz w:val="24"/>
          <w:szCs w:val="24"/>
        </w:rPr>
      </w:pPr>
    </w:p>
    <w:p w:rsidR="000F4CBA" w:rsidRPr="009342ED" w:rsidRDefault="000F4CBA" w:rsidP="000F4CBA">
      <w:pPr>
        <w:spacing w:line="240" w:lineRule="auto"/>
        <w:jc w:val="both"/>
        <w:rPr>
          <w:rFonts w:ascii="Times New Roman" w:hAnsi="Times New Roman" w:cs="Times New Roman"/>
          <w:sz w:val="24"/>
          <w:szCs w:val="24"/>
        </w:rPr>
      </w:pPr>
    </w:p>
    <w:p w:rsidR="000F4CBA" w:rsidRDefault="000F4CBA" w:rsidP="000F4CBA">
      <w:pPr>
        <w:spacing w:line="240" w:lineRule="auto"/>
        <w:jc w:val="both"/>
        <w:rPr>
          <w:rFonts w:ascii="Times New Roman" w:hAnsi="Times New Roman" w:cs="Times New Roman"/>
          <w:sz w:val="24"/>
          <w:szCs w:val="24"/>
        </w:rPr>
      </w:pPr>
      <w:r w:rsidRPr="009342ED">
        <w:rPr>
          <w:rFonts w:ascii="Times New Roman" w:hAnsi="Times New Roman" w:cs="Times New Roman"/>
          <w:sz w:val="24"/>
          <w:szCs w:val="24"/>
        </w:rPr>
        <w:t xml:space="preserve">La tercera política de cambio de matriz productiva es educación. Aquí también convergen la educación como derecho humano y el pago de deuda social. Es quizás la política protagonista en el marco de creación de la democracia del Buen Vivir, porque toca lo central: las decisiones humanas tanto en su vida privada como en la organización de las distintas esferas de la sociedad. Observando las políticas públicas, su financiamiento, estructuración y resultados, la educación ha sido prioritaria en la década 2006-2015. </w:t>
      </w:r>
      <w:r>
        <w:rPr>
          <w:rFonts w:ascii="Times New Roman" w:hAnsi="Times New Roman" w:cs="Times New Roman"/>
          <w:sz w:val="24"/>
          <w:szCs w:val="24"/>
        </w:rPr>
        <w:t>A continuación realizamos una revisión de la evolución de los aspectos más centrales que afectan el derecho a la educación en la última década.</w:t>
      </w:r>
    </w:p>
    <w:p w:rsidR="000F4CBA" w:rsidRDefault="000F4CBA" w:rsidP="000F4CBA">
      <w:pPr>
        <w:spacing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0F4CBA" w:rsidRDefault="000F4CBA" w:rsidP="000F4CBA">
      <w:pPr>
        <w:spacing w:line="240" w:lineRule="auto"/>
        <w:jc w:val="both"/>
        <w:rPr>
          <w:rFonts w:ascii="Times New Roman" w:hAnsi="Times New Roman" w:cs="Times New Roman"/>
          <w:sz w:val="24"/>
          <w:szCs w:val="24"/>
        </w:rPr>
      </w:pPr>
    </w:p>
    <w:p w:rsidR="000F4CBA" w:rsidRPr="001D0D7B" w:rsidRDefault="000F4CBA" w:rsidP="000F4CBA">
      <w:pPr>
        <w:numPr>
          <w:ilvl w:val="0"/>
          <w:numId w:val="2"/>
        </w:numPr>
        <w:spacing w:after="0" w:line="240" w:lineRule="auto"/>
        <w:jc w:val="both"/>
        <w:rPr>
          <w:rFonts w:ascii="Times New Roman" w:hAnsi="Times New Roman" w:cs="Times New Roman"/>
          <w:b/>
          <w:sz w:val="32"/>
          <w:szCs w:val="32"/>
        </w:rPr>
      </w:pPr>
      <w:r w:rsidRPr="001D0D7B">
        <w:rPr>
          <w:rFonts w:ascii="Times New Roman" w:hAnsi="Times New Roman" w:cs="Times New Roman"/>
          <w:b/>
          <w:sz w:val="32"/>
          <w:szCs w:val="32"/>
        </w:rPr>
        <w:t>El derecho a la educación en el Sistema Nacional de Educación</w:t>
      </w:r>
    </w:p>
    <w:p w:rsidR="000F4CBA" w:rsidRDefault="000F4CBA" w:rsidP="000F4CBA">
      <w:pPr>
        <w:spacing w:line="240" w:lineRule="auto"/>
        <w:jc w:val="both"/>
        <w:rPr>
          <w:rFonts w:ascii="Times New Roman" w:hAnsi="Times New Roman" w:cs="Times New Roman"/>
          <w:sz w:val="24"/>
          <w:szCs w:val="24"/>
        </w:rPr>
      </w:pPr>
    </w:p>
    <w:p w:rsidR="000F4CBA" w:rsidRDefault="000F4CBA" w:rsidP="000F4CB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Para darle poder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la justicia, se debe financiar las políticas públicas que garantizan los derechos de las personas. A continuación podemos observar la evolución del financiamiento del Sistema Nacional de Educación.</w:t>
      </w:r>
    </w:p>
    <w:p w:rsidR="000F4CBA" w:rsidRDefault="000F4CBA" w:rsidP="000F4CBA">
      <w:pPr>
        <w:spacing w:line="240" w:lineRule="auto"/>
        <w:jc w:val="both"/>
        <w:rPr>
          <w:rFonts w:ascii="Times New Roman" w:hAnsi="Times New Roman" w:cs="Times New Roman"/>
          <w:sz w:val="24"/>
          <w:szCs w:val="24"/>
        </w:rPr>
      </w:pPr>
    </w:p>
    <w:p w:rsidR="000F4CBA" w:rsidRDefault="000F4CBA" w:rsidP="000F4CBA">
      <w:pPr>
        <w:spacing w:line="240" w:lineRule="auto"/>
        <w:jc w:val="both"/>
        <w:rPr>
          <w:rFonts w:ascii="Times New Roman" w:hAnsi="Times New Roman" w:cs="Times New Roman"/>
          <w:sz w:val="24"/>
          <w:szCs w:val="24"/>
        </w:rPr>
      </w:pPr>
    </w:p>
    <w:p w:rsidR="000F4CBA" w:rsidRPr="009342ED" w:rsidRDefault="000F4CBA" w:rsidP="000F4CBA">
      <w:pPr>
        <w:spacing w:line="240" w:lineRule="auto"/>
        <w:jc w:val="center"/>
        <w:rPr>
          <w:rFonts w:ascii="Times New Roman" w:hAnsi="Times New Roman" w:cs="Times New Roman"/>
          <w:sz w:val="24"/>
          <w:szCs w:val="24"/>
        </w:rPr>
      </w:pPr>
      <w:r w:rsidRPr="009342ED">
        <w:rPr>
          <w:rFonts w:ascii="Times New Roman" w:hAnsi="Times New Roman" w:cs="Times New Roman"/>
          <w:noProof/>
          <w:sz w:val="24"/>
          <w:szCs w:val="24"/>
          <w:lang w:eastAsia="es-EC"/>
        </w:rPr>
        <w:drawing>
          <wp:inline distT="0" distB="0" distL="0" distR="0">
            <wp:extent cx="3858260" cy="211963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8260" cy="2119630"/>
                    </a:xfrm>
                    <a:prstGeom prst="rect">
                      <a:avLst/>
                    </a:prstGeom>
                    <a:noFill/>
                    <a:ln>
                      <a:noFill/>
                    </a:ln>
                  </pic:spPr>
                </pic:pic>
              </a:graphicData>
            </a:graphic>
          </wp:inline>
        </w:drawing>
      </w:r>
    </w:p>
    <w:p w:rsidR="000F4CBA" w:rsidRPr="009342ED" w:rsidRDefault="000F4CBA" w:rsidP="000F4CBA">
      <w:pPr>
        <w:spacing w:line="240" w:lineRule="auto"/>
        <w:jc w:val="center"/>
        <w:rPr>
          <w:rFonts w:ascii="Times New Roman" w:hAnsi="Times New Roman" w:cs="Times New Roman"/>
          <w:sz w:val="24"/>
          <w:szCs w:val="24"/>
        </w:rPr>
      </w:pPr>
      <w:r w:rsidRPr="009342ED">
        <w:rPr>
          <w:rFonts w:ascii="Times New Roman" w:hAnsi="Times New Roman" w:cs="Times New Roman"/>
          <w:sz w:val="24"/>
          <w:szCs w:val="24"/>
        </w:rPr>
        <w:t xml:space="preserve">Gráfico </w:t>
      </w:r>
      <w:r>
        <w:rPr>
          <w:rFonts w:ascii="Times New Roman" w:hAnsi="Times New Roman" w:cs="Times New Roman"/>
          <w:sz w:val="24"/>
          <w:szCs w:val="24"/>
        </w:rPr>
        <w:t>7</w:t>
      </w:r>
      <w:r w:rsidRPr="009342ED">
        <w:rPr>
          <w:rFonts w:ascii="Times New Roman" w:hAnsi="Times New Roman" w:cs="Times New Roman"/>
          <w:sz w:val="24"/>
          <w:szCs w:val="24"/>
        </w:rPr>
        <w:t>. Presupuesto histórico devengado (millones de dólares)</w:t>
      </w:r>
      <w:r>
        <w:rPr>
          <w:rFonts w:ascii="Times New Roman" w:hAnsi="Times New Roman" w:cs="Times New Roman"/>
          <w:sz w:val="24"/>
          <w:szCs w:val="24"/>
        </w:rPr>
        <w:t xml:space="preserve"> del Ministerio de Educación</w:t>
      </w:r>
      <w:r w:rsidRPr="009342ED">
        <w:rPr>
          <w:rFonts w:ascii="Times New Roman" w:hAnsi="Times New Roman" w:cs="Times New Roman"/>
          <w:sz w:val="24"/>
          <w:szCs w:val="24"/>
        </w:rPr>
        <w:t>.</w:t>
      </w:r>
      <w:r>
        <w:rPr>
          <w:rFonts w:ascii="Times New Roman" w:hAnsi="Times New Roman" w:cs="Times New Roman"/>
          <w:sz w:val="24"/>
          <w:szCs w:val="24"/>
        </w:rPr>
        <w:t xml:space="preserve"> </w:t>
      </w:r>
      <w:r w:rsidRPr="009342ED">
        <w:rPr>
          <w:rFonts w:ascii="Times New Roman" w:hAnsi="Times New Roman" w:cs="Times New Roman"/>
          <w:sz w:val="24"/>
          <w:szCs w:val="24"/>
        </w:rPr>
        <w:t>Fuente: e-SIGEF. Elaborado: Ministerio de Educación.</w:t>
      </w:r>
    </w:p>
    <w:p w:rsidR="000F4CBA" w:rsidRDefault="000F4CBA" w:rsidP="000F4CBA">
      <w:pPr>
        <w:tabs>
          <w:tab w:val="left" w:pos="4111"/>
        </w:tabs>
        <w:spacing w:line="240" w:lineRule="auto"/>
        <w:jc w:val="both"/>
        <w:rPr>
          <w:rFonts w:ascii="Times New Roman" w:hAnsi="Times New Roman" w:cs="Times New Roman"/>
          <w:sz w:val="24"/>
          <w:szCs w:val="24"/>
        </w:rPr>
      </w:pPr>
    </w:p>
    <w:p w:rsidR="000F4CBA" w:rsidRDefault="000F4CBA" w:rsidP="000F4CBA">
      <w:pPr>
        <w:tabs>
          <w:tab w:val="left" w:pos="4111"/>
        </w:tabs>
        <w:spacing w:line="240" w:lineRule="auto"/>
        <w:rPr>
          <w:rFonts w:ascii="Times New Roman" w:hAnsi="Times New Roman" w:cs="Times New Roman"/>
          <w:sz w:val="24"/>
          <w:szCs w:val="24"/>
        </w:rPr>
      </w:pPr>
      <w:r>
        <w:rPr>
          <w:rFonts w:ascii="Times New Roman" w:hAnsi="Times New Roman" w:cs="Times New Roman"/>
          <w:sz w:val="24"/>
          <w:szCs w:val="24"/>
        </w:rPr>
        <w:t>En los cinco años del 2011 al 2016, la educación pública hasta bachillerato recibió 3.4 veces ($14,388 millones) el financiamiento que recibió en los cinco años del 2002 al 2006 ($4,239). El</w:t>
      </w:r>
      <w:r w:rsidRPr="009342ED">
        <w:rPr>
          <w:rFonts w:ascii="Times New Roman" w:hAnsi="Times New Roman" w:cs="Times New Roman"/>
          <w:sz w:val="24"/>
          <w:szCs w:val="24"/>
        </w:rPr>
        <w:t xml:space="preserve"> Ministerio de Educación</w:t>
      </w:r>
      <w:r>
        <w:rPr>
          <w:rFonts w:ascii="Times New Roman" w:hAnsi="Times New Roman" w:cs="Times New Roman"/>
          <w:sz w:val="24"/>
          <w:szCs w:val="24"/>
        </w:rPr>
        <w:t xml:space="preserve"> informa que dentro de este presupuesto se encuentran los siguientes fines del gasto público, entre gasto corriente e inversión.</w:t>
      </w:r>
    </w:p>
    <w:p w:rsidR="000F4CBA" w:rsidRDefault="000F4CBA" w:rsidP="000F4CBA">
      <w:pPr>
        <w:tabs>
          <w:tab w:val="left" w:pos="4111"/>
        </w:tabs>
        <w:spacing w:line="240" w:lineRule="auto"/>
        <w:rPr>
          <w:rFonts w:ascii="Times New Roman" w:hAnsi="Times New Roman" w:cs="Times New Roman"/>
          <w:sz w:val="24"/>
          <w:szCs w:val="24"/>
        </w:rPr>
      </w:pPr>
    </w:p>
    <w:p w:rsidR="000F4CBA" w:rsidRDefault="000F4CBA" w:rsidP="000F4CBA">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extent cx="4543425" cy="2558415"/>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3425" cy="2558415"/>
                    </a:xfrm>
                    <a:prstGeom prst="rect">
                      <a:avLst/>
                    </a:prstGeom>
                    <a:noFill/>
                    <a:ln>
                      <a:noFill/>
                    </a:ln>
                  </pic:spPr>
                </pic:pic>
              </a:graphicData>
            </a:graphic>
          </wp:inline>
        </w:drawing>
      </w:r>
    </w:p>
    <w:p w:rsidR="000F4CBA" w:rsidRDefault="000F4CBA" w:rsidP="000F4CBA">
      <w:pPr>
        <w:spacing w:line="240" w:lineRule="auto"/>
        <w:jc w:val="center"/>
        <w:rPr>
          <w:rFonts w:ascii="Times New Roman" w:hAnsi="Times New Roman" w:cs="Times New Roman"/>
          <w:sz w:val="24"/>
          <w:szCs w:val="24"/>
        </w:rPr>
      </w:pPr>
    </w:p>
    <w:p w:rsidR="000F4CBA" w:rsidRDefault="000F4CBA" w:rsidP="000F4CBA">
      <w:pPr>
        <w:spacing w:line="240" w:lineRule="auto"/>
        <w:jc w:val="center"/>
        <w:rPr>
          <w:rFonts w:ascii="Times New Roman" w:hAnsi="Times New Roman" w:cs="Times New Roman"/>
          <w:sz w:val="24"/>
          <w:szCs w:val="24"/>
        </w:rPr>
      </w:pPr>
      <w:r>
        <w:rPr>
          <w:rFonts w:ascii="Times New Roman" w:hAnsi="Times New Roman" w:cs="Times New Roman"/>
          <w:sz w:val="24"/>
          <w:szCs w:val="24"/>
        </w:rPr>
        <w:t>Gráfico 8. Inversión y gasto corriente, presupuesto devengado (millones de dólares). Fuente: e-SIGEF. Elaborado: Ministerio de Educación.</w:t>
      </w:r>
    </w:p>
    <w:p w:rsidR="000F4CBA" w:rsidRDefault="000F4CBA" w:rsidP="000F4CBA">
      <w:pPr>
        <w:tabs>
          <w:tab w:val="left" w:pos="4111"/>
        </w:tabs>
        <w:spacing w:line="240" w:lineRule="auto"/>
        <w:rPr>
          <w:rFonts w:ascii="Times New Roman" w:hAnsi="Times New Roman" w:cs="Times New Roman"/>
          <w:sz w:val="24"/>
          <w:szCs w:val="24"/>
        </w:rPr>
      </w:pPr>
    </w:p>
    <w:p w:rsidR="000F4CBA" w:rsidRPr="009342ED" w:rsidRDefault="000F4CBA" w:rsidP="000F4CBA">
      <w:pPr>
        <w:tabs>
          <w:tab w:val="left" w:pos="4111"/>
        </w:tabs>
        <w:spacing w:line="240" w:lineRule="auto"/>
        <w:rPr>
          <w:rFonts w:ascii="Times New Roman" w:hAnsi="Times New Roman" w:cs="Times New Roman"/>
          <w:sz w:val="24"/>
          <w:szCs w:val="24"/>
        </w:rPr>
      </w:pPr>
      <w:r>
        <w:rPr>
          <w:rFonts w:ascii="Times New Roman" w:hAnsi="Times New Roman" w:cs="Times New Roman"/>
          <w:sz w:val="24"/>
          <w:szCs w:val="24"/>
        </w:rPr>
        <w:t xml:space="preserve">Dentro del gasto corriente, el Ministerio de Educación informa que algunos de los destinos son los siguientes: </w:t>
      </w:r>
    </w:p>
    <w:p w:rsidR="000F4CBA" w:rsidRPr="009342ED" w:rsidRDefault="000F4CBA" w:rsidP="000F4CBA">
      <w:pPr>
        <w:tabs>
          <w:tab w:val="left" w:pos="4111"/>
        </w:tabs>
        <w:spacing w:line="240" w:lineRule="auto"/>
        <w:rPr>
          <w:rFonts w:ascii="Times New Roman" w:hAnsi="Times New Roman" w:cs="Times New Roman"/>
          <w:sz w:val="24"/>
          <w:szCs w:val="24"/>
        </w:rPr>
      </w:pPr>
    </w:p>
    <w:p w:rsidR="000F4CBA" w:rsidRDefault="000F4CBA" w:rsidP="000F4CBA">
      <w:pPr>
        <w:numPr>
          <w:ilvl w:val="0"/>
          <w:numId w:val="1"/>
        </w:numPr>
        <w:spacing w:after="0" w:line="240" w:lineRule="auto"/>
        <w:jc w:val="both"/>
        <w:rPr>
          <w:rFonts w:ascii="Times New Roman" w:hAnsi="Times New Roman" w:cs="Times New Roman"/>
          <w:sz w:val="24"/>
          <w:szCs w:val="24"/>
        </w:rPr>
      </w:pPr>
      <w:r w:rsidRPr="009342ED">
        <w:rPr>
          <w:rFonts w:ascii="Times New Roman" w:hAnsi="Times New Roman" w:cs="Times New Roman"/>
          <w:sz w:val="24"/>
          <w:szCs w:val="24"/>
        </w:rPr>
        <w:t>Entre 2008 y 2015 se ha invertido USD146 millones en la entrega de textos escolares gratuitos, beneficiando en 2015 a 3</w:t>
      </w:r>
      <w:proofErr w:type="gramStart"/>
      <w:r>
        <w:rPr>
          <w:rFonts w:ascii="Times New Roman" w:hAnsi="Times New Roman" w:cs="Times New Roman"/>
          <w:sz w:val="24"/>
          <w:szCs w:val="24"/>
        </w:rPr>
        <w:t>,</w:t>
      </w:r>
      <w:r w:rsidRPr="009342ED">
        <w:rPr>
          <w:rFonts w:ascii="Times New Roman" w:hAnsi="Times New Roman" w:cs="Times New Roman"/>
          <w:sz w:val="24"/>
          <w:szCs w:val="24"/>
        </w:rPr>
        <w:t>865</w:t>
      </w:r>
      <w:r>
        <w:rPr>
          <w:rFonts w:ascii="Times New Roman" w:hAnsi="Times New Roman" w:cs="Times New Roman"/>
          <w:sz w:val="24"/>
          <w:szCs w:val="24"/>
        </w:rPr>
        <w:t>,</w:t>
      </w:r>
      <w:r w:rsidRPr="009342ED">
        <w:rPr>
          <w:rFonts w:ascii="Times New Roman" w:hAnsi="Times New Roman" w:cs="Times New Roman"/>
          <w:sz w:val="24"/>
          <w:szCs w:val="24"/>
        </w:rPr>
        <w:t>476</w:t>
      </w:r>
      <w:proofErr w:type="gramEnd"/>
      <w:r w:rsidRPr="009342ED">
        <w:rPr>
          <w:rFonts w:ascii="Times New Roman" w:hAnsi="Times New Roman" w:cs="Times New Roman"/>
          <w:sz w:val="24"/>
          <w:szCs w:val="24"/>
        </w:rPr>
        <w:t xml:space="preserve"> estudiantes de instituciones educativas fiscales y </w:t>
      </w:r>
      <w:proofErr w:type="spellStart"/>
      <w:r w:rsidRPr="009342ED">
        <w:rPr>
          <w:rFonts w:ascii="Times New Roman" w:hAnsi="Times New Roman" w:cs="Times New Roman"/>
          <w:sz w:val="24"/>
          <w:szCs w:val="24"/>
        </w:rPr>
        <w:t>fiscomisionales</w:t>
      </w:r>
      <w:proofErr w:type="spellEnd"/>
      <w:r w:rsidRPr="009342ED">
        <w:rPr>
          <w:rFonts w:ascii="Times New Roman" w:hAnsi="Times New Roman" w:cs="Times New Roman"/>
          <w:sz w:val="24"/>
          <w:szCs w:val="24"/>
        </w:rPr>
        <w:t>.</w:t>
      </w:r>
    </w:p>
    <w:p w:rsidR="000F4CBA" w:rsidRDefault="000F4CBA" w:rsidP="000F4CBA">
      <w:pPr>
        <w:numPr>
          <w:ilvl w:val="0"/>
          <w:numId w:val="1"/>
        </w:numPr>
        <w:spacing w:after="0" w:line="240" w:lineRule="auto"/>
        <w:jc w:val="both"/>
        <w:rPr>
          <w:rFonts w:ascii="Times New Roman" w:hAnsi="Times New Roman" w:cs="Times New Roman"/>
          <w:sz w:val="24"/>
          <w:szCs w:val="24"/>
        </w:rPr>
      </w:pPr>
      <w:r w:rsidRPr="009342ED">
        <w:rPr>
          <w:rFonts w:ascii="Times New Roman" w:hAnsi="Times New Roman" w:cs="Times New Roman"/>
          <w:sz w:val="24"/>
          <w:szCs w:val="24"/>
        </w:rPr>
        <w:t>Entre 2008 y 2015 se ha invertido USD 676 millones  en la entrega de alimentación</w:t>
      </w:r>
      <w:r>
        <w:rPr>
          <w:rFonts w:ascii="Times New Roman" w:hAnsi="Times New Roman" w:cs="Times New Roman"/>
          <w:sz w:val="24"/>
          <w:szCs w:val="24"/>
        </w:rPr>
        <w:t xml:space="preserve"> </w:t>
      </w:r>
      <w:r w:rsidRPr="009342ED">
        <w:rPr>
          <w:rFonts w:ascii="Times New Roman" w:hAnsi="Times New Roman" w:cs="Times New Roman"/>
          <w:sz w:val="24"/>
          <w:szCs w:val="24"/>
        </w:rPr>
        <w:t>escolar gratuita, beneficiando en 2015 a 2</w:t>
      </w:r>
      <w:proofErr w:type="gramStart"/>
      <w:r>
        <w:rPr>
          <w:rFonts w:ascii="Times New Roman" w:hAnsi="Times New Roman" w:cs="Times New Roman"/>
          <w:sz w:val="24"/>
          <w:szCs w:val="24"/>
        </w:rPr>
        <w:t>,</w:t>
      </w:r>
      <w:r w:rsidRPr="009342ED">
        <w:rPr>
          <w:rFonts w:ascii="Times New Roman" w:hAnsi="Times New Roman" w:cs="Times New Roman"/>
          <w:sz w:val="24"/>
          <w:szCs w:val="24"/>
        </w:rPr>
        <w:t>872</w:t>
      </w:r>
      <w:r>
        <w:rPr>
          <w:rFonts w:ascii="Times New Roman" w:hAnsi="Times New Roman" w:cs="Times New Roman"/>
          <w:sz w:val="24"/>
          <w:szCs w:val="24"/>
        </w:rPr>
        <w:t>,</w:t>
      </w:r>
      <w:r w:rsidRPr="009342ED">
        <w:rPr>
          <w:rFonts w:ascii="Times New Roman" w:hAnsi="Times New Roman" w:cs="Times New Roman"/>
          <w:sz w:val="24"/>
          <w:szCs w:val="24"/>
        </w:rPr>
        <w:t>076</w:t>
      </w:r>
      <w:proofErr w:type="gramEnd"/>
      <w:r w:rsidRPr="009342ED">
        <w:rPr>
          <w:rFonts w:ascii="Times New Roman" w:hAnsi="Times New Roman" w:cs="Times New Roman"/>
          <w:sz w:val="24"/>
          <w:szCs w:val="24"/>
        </w:rPr>
        <w:t xml:space="preserve"> estudiantes de instituciones educativas fiscales.</w:t>
      </w:r>
    </w:p>
    <w:p w:rsidR="000F4CBA" w:rsidRPr="0039266E" w:rsidRDefault="000F4CBA" w:rsidP="000F4CBA">
      <w:pPr>
        <w:numPr>
          <w:ilvl w:val="0"/>
          <w:numId w:val="1"/>
        </w:numPr>
        <w:spacing w:after="0" w:line="240" w:lineRule="auto"/>
        <w:jc w:val="both"/>
        <w:rPr>
          <w:rFonts w:ascii="Times New Roman" w:hAnsi="Times New Roman" w:cs="Times New Roman"/>
          <w:sz w:val="24"/>
          <w:szCs w:val="24"/>
        </w:rPr>
      </w:pPr>
      <w:r w:rsidRPr="009342ED">
        <w:rPr>
          <w:rFonts w:ascii="Times New Roman" w:hAnsi="Times New Roman" w:cs="Times New Roman"/>
          <w:sz w:val="24"/>
          <w:szCs w:val="24"/>
        </w:rPr>
        <w:t>Entre 2008 y 2015 se ha invertido USD 266 millones en la entrega de uniformes escolares gratui</w:t>
      </w:r>
      <w:r>
        <w:rPr>
          <w:rFonts w:ascii="Times New Roman" w:hAnsi="Times New Roman" w:cs="Times New Roman"/>
          <w:sz w:val="24"/>
          <w:szCs w:val="24"/>
        </w:rPr>
        <w:t>tos, beneficiando, en 2015, a 1</w:t>
      </w:r>
      <w:proofErr w:type="gramStart"/>
      <w:r>
        <w:rPr>
          <w:rFonts w:ascii="Times New Roman" w:hAnsi="Times New Roman" w:cs="Times New Roman"/>
          <w:sz w:val="24"/>
          <w:szCs w:val="24"/>
        </w:rPr>
        <w:t>,</w:t>
      </w:r>
      <w:r w:rsidRPr="009342ED">
        <w:rPr>
          <w:rFonts w:ascii="Times New Roman" w:hAnsi="Times New Roman" w:cs="Times New Roman"/>
          <w:sz w:val="24"/>
          <w:szCs w:val="24"/>
        </w:rPr>
        <w:t>805</w:t>
      </w:r>
      <w:r>
        <w:rPr>
          <w:rFonts w:ascii="Times New Roman" w:hAnsi="Times New Roman" w:cs="Times New Roman"/>
          <w:sz w:val="24"/>
          <w:szCs w:val="24"/>
        </w:rPr>
        <w:t>,</w:t>
      </w:r>
      <w:r w:rsidRPr="009342ED">
        <w:rPr>
          <w:rFonts w:ascii="Times New Roman" w:hAnsi="Times New Roman" w:cs="Times New Roman"/>
          <w:sz w:val="24"/>
          <w:szCs w:val="24"/>
        </w:rPr>
        <w:t>289</w:t>
      </w:r>
      <w:proofErr w:type="gramEnd"/>
      <w:r w:rsidRPr="009342ED">
        <w:rPr>
          <w:rFonts w:ascii="Times New Roman" w:hAnsi="Times New Roman" w:cs="Times New Roman"/>
          <w:sz w:val="24"/>
          <w:szCs w:val="24"/>
        </w:rPr>
        <w:t xml:space="preserve"> estudiantes de instituciones educativas fiscales.</w:t>
      </w:r>
    </w:p>
    <w:p w:rsidR="000F4CBA" w:rsidRPr="009342ED" w:rsidRDefault="000F4CBA" w:rsidP="000F4CBA">
      <w:pPr>
        <w:spacing w:line="240" w:lineRule="auto"/>
        <w:jc w:val="both"/>
        <w:rPr>
          <w:rFonts w:ascii="Times New Roman" w:hAnsi="Times New Roman" w:cs="Times New Roman"/>
          <w:sz w:val="24"/>
          <w:szCs w:val="24"/>
        </w:rPr>
      </w:pPr>
    </w:p>
    <w:p w:rsidR="000F4CBA" w:rsidRDefault="000F4CBA" w:rsidP="000F4CBA">
      <w:pPr>
        <w:spacing w:line="240" w:lineRule="auto"/>
        <w:jc w:val="both"/>
        <w:rPr>
          <w:rFonts w:ascii="Times New Roman" w:hAnsi="Times New Roman" w:cs="Times New Roman"/>
          <w:sz w:val="24"/>
          <w:szCs w:val="24"/>
        </w:rPr>
      </w:pPr>
      <w:r w:rsidRPr="009342ED">
        <w:rPr>
          <w:rFonts w:ascii="Times New Roman" w:hAnsi="Times New Roman" w:cs="Times New Roman"/>
          <w:sz w:val="24"/>
          <w:szCs w:val="24"/>
        </w:rPr>
        <w:t>La Constitución y la Ley Orgánica de Educación Intercultural (LOEI, 2011) obligan al Estado a garantizar el derecho a la educación inicial, básica y de bachillerato. Para ello, es esencial contar con suficiente infraestructura y talento humano de calidad, a la vez que se implementan otras políticas conexas que provean condiciones para el acceso y eliminen obstáculos de acceso a la educación de calidad. A su vez, la forma básica de evaluar las políticas para garantizar este derecho es viendo la variación en acceso y en calidad. A continuación realizamos una síntesis del desempeño de las variables que constituyen la trayectoria del acceso al derecho a la educación de calidad.</w:t>
      </w:r>
    </w:p>
    <w:p w:rsidR="000F4CBA" w:rsidRPr="009342ED" w:rsidRDefault="000F4CBA" w:rsidP="000F4CBA">
      <w:pPr>
        <w:spacing w:line="240" w:lineRule="auto"/>
        <w:jc w:val="both"/>
        <w:rPr>
          <w:rFonts w:ascii="Times New Roman" w:hAnsi="Times New Roman" w:cs="Times New Roman"/>
          <w:sz w:val="24"/>
          <w:szCs w:val="24"/>
        </w:rPr>
      </w:pPr>
    </w:p>
    <w:p w:rsidR="000F4CBA" w:rsidRDefault="000F4CBA" w:rsidP="000F4CBA">
      <w:pPr>
        <w:spacing w:line="240" w:lineRule="auto"/>
        <w:jc w:val="both"/>
        <w:rPr>
          <w:rFonts w:ascii="Times New Roman" w:hAnsi="Times New Roman" w:cs="Times New Roman"/>
          <w:sz w:val="24"/>
          <w:szCs w:val="24"/>
        </w:rPr>
      </w:pPr>
      <w:r w:rsidRPr="009342ED">
        <w:rPr>
          <w:rFonts w:ascii="Times New Roman" w:hAnsi="Times New Roman" w:cs="Times New Roman"/>
          <w:sz w:val="24"/>
          <w:szCs w:val="24"/>
        </w:rPr>
        <w:t>De acu</w:t>
      </w:r>
      <w:r>
        <w:rPr>
          <w:rFonts w:ascii="Times New Roman" w:hAnsi="Times New Roman" w:cs="Times New Roman"/>
          <w:sz w:val="24"/>
          <w:szCs w:val="24"/>
        </w:rPr>
        <w:t xml:space="preserve">erdo a la Constitución y la LOEI, </w:t>
      </w:r>
      <w:r w:rsidRPr="009342ED">
        <w:rPr>
          <w:rFonts w:ascii="Times New Roman" w:hAnsi="Times New Roman" w:cs="Times New Roman"/>
          <w:sz w:val="24"/>
          <w:szCs w:val="24"/>
        </w:rPr>
        <w:t>el Estado está obligado a garantizar el derecho a la educación inicial, constituido por “el proceso de acompañamiento al desarrollo integral que considera los aspectos cognitivo, afectivo, psicomotriz, social, de identidad, autonomía y pertenencia a la comunidad y región de los niños y niñas desde los tres años hasta los cinco años de edad, garantiza y respeta sus derechos, diversidad cultural y lingüística, ritmo propio de crecimiento y aprendizaje, y potencia sus capacidades, habilidades y destrezas” (LOEI, Art. 40).</w:t>
      </w:r>
    </w:p>
    <w:p w:rsidR="000F4CBA" w:rsidRPr="009342ED" w:rsidRDefault="000F4CBA" w:rsidP="000F4CBA">
      <w:pPr>
        <w:spacing w:line="240" w:lineRule="auto"/>
        <w:jc w:val="both"/>
        <w:rPr>
          <w:rFonts w:ascii="Times New Roman" w:hAnsi="Times New Roman" w:cs="Times New Roman"/>
          <w:sz w:val="24"/>
          <w:szCs w:val="24"/>
        </w:rPr>
      </w:pPr>
    </w:p>
    <w:p w:rsidR="000F4CBA" w:rsidRPr="009342ED" w:rsidRDefault="000F4CBA" w:rsidP="000F4CBA">
      <w:pPr>
        <w:spacing w:line="240" w:lineRule="auto"/>
        <w:jc w:val="center"/>
        <w:rPr>
          <w:rFonts w:ascii="Times New Roman" w:hAnsi="Times New Roman" w:cs="Times New Roman"/>
          <w:sz w:val="24"/>
          <w:szCs w:val="24"/>
        </w:rPr>
      </w:pPr>
      <w:r w:rsidRPr="009342ED">
        <w:rPr>
          <w:rFonts w:ascii="Times New Roman" w:hAnsi="Times New Roman" w:cs="Times New Roman"/>
          <w:noProof/>
          <w:sz w:val="24"/>
          <w:szCs w:val="24"/>
          <w:lang w:eastAsia="es-EC"/>
        </w:rPr>
        <w:lastRenderedPageBreak/>
        <w:drawing>
          <wp:inline distT="0" distB="0" distL="0" distR="0">
            <wp:extent cx="3804920" cy="1988820"/>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4920" cy="1988820"/>
                    </a:xfrm>
                    <a:prstGeom prst="rect">
                      <a:avLst/>
                    </a:prstGeom>
                    <a:noFill/>
                    <a:ln>
                      <a:noFill/>
                    </a:ln>
                  </pic:spPr>
                </pic:pic>
              </a:graphicData>
            </a:graphic>
          </wp:inline>
        </w:drawing>
      </w:r>
    </w:p>
    <w:p w:rsidR="000F4CBA" w:rsidRDefault="000F4CBA" w:rsidP="000F4CBA">
      <w:pPr>
        <w:spacing w:line="240" w:lineRule="auto"/>
        <w:ind w:left="720" w:hanging="360"/>
        <w:jc w:val="both"/>
        <w:rPr>
          <w:rFonts w:ascii="Times New Roman" w:hAnsi="Times New Roman" w:cs="Times New Roman"/>
          <w:sz w:val="24"/>
          <w:szCs w:val="24"/>
        </w:rPr>
      </w:pPr>
    </w:p>
    <w:p w:rsidR="000F4CBA" w:rsidRPr="009342ED" w:rsidRDefault="000F4CBA" w:rsidP="000F4CBA">
      <w:pPr>
        <w:spacing w:line="240" w:lineRule="auto"/>
        <w:ind w:left="720" w:hanging="360"/>
        <w:jc w:val="center"/>
        <w:rPr>
          <w:rFonts w:ascii="Times New Roman" w:hAnsi="Times New Roman" w:cs="Times New Roman"/>
          <w:sz w:val="24"/>
          <w:szCs w:val="24"/>
        </w:rPr>
      </w:pPr>
      <w:r w:rsidRPr="009342ED">
        <w:rPr>
          <w:rFonts w:ascii="Times New Roman" w:hAnsi="Times New Roman" w:cs="Times New Roman"/>
          <w:sz w:val="24"/>
          <w:szCs w:val="24"/>
        </w:rPr>
        <w:t>Gráfico</w:t>
      </w:r>
      <w:r>
        <w:rPr>
          <w:rFonts w:ascii="Times New Roman" w:hAnsi="Times New Roman" w:cs="Times New Roman"/>
          <w:sz w:val="24"/>
          <w:szCs w:val="24"/>
        </w:rPr>
        <w:t xml:space="preserve"> 9.</w:t>
      </w:r>
      <w:r w:rsidRPr="009342ED">
        <w:rPr>
          <w:rFonts w:ascii="Times New Roman" w:hAnsi="Times New Roman" w:cs="Times New Roman"/>
          <w:sz w:val="24"/>
          <w:szCs w:val="24"/>
        </w:rPr>
        <w:t xml:space="preserve"> Número de estudiantes matriculados en Educación Inicial (3 y 4 años). Fuente: Registros administrativos del </w:t>
      </w:r>
      <w:r>
        <w:rPr>
          <w:rFonts w:ascii="Times New Roman" w:hAnsi="Times New Roman" w:cs="Times New Roman"/>
          <w:sz w:val="24"/>
          <w:szCs w:val="24"/>
        </w:rPr>
        <w:t>Ministerio de Educación</w:t>
      </w:r>
      <w:r w:rsidRPr="009342ED">
        <w:rPr>
          <w:rFonts w:ascii="Times New Roman" w:hAnsi="Times New Roman" w:cs="Times New Roman"/>
          <w:sz w:val="24"/>
          <w:szCs w:val="24"/>
        </w:rPr>
        <w:t>. Elaborado: Ministerio de Educación.</w:t>
      </w:r>
    </w:p>
    <w:p w:rsidR="000F4CBA" w:rsidRDefault="000F4CBA" w:rsidP="000F4CBA">
      <w:pPr>
        <w:tabs>
          <w:tab w:val="left" w:pos="0"/>
        </w:tabs>
        <w:spacing w:line="240" w:lineRule="auto"/>
        <w:jc w:val="both"/>
        <w:rPr>
          <w:rFonts w:ascii="Times New Roman" w:hAnsi="Times New Roman" w:cs="Times New Roman"/>
          <w:sz w:val="24"/>
          <w:szCs w:val="24"/>
        </w:rPr>
      </w:pPr>
    </w:p>
    <w:p w:rsidR="000F4CBA" w:rsidRPr="009342ED" w:rsidRDefault="000F4CBA" w:rsidP="000F4CBA">
      <w:pPr>
        <w:tabs>
          <w:tab w:val="left" w:pos="0"/>
        </w:tabs>
        <w:spacing w:line="240" w:lineRule="auto"/>
        <w:jc w:val="both"/>
        <w:rPr>
          <w:rFonts w:ascii="Times New Roman" w:hAnsi="Times New Roman" w:cs="Times New Roman"/>
          <w:sz w:val="24"/>
          <w:szCs w:val="24"/>
        </w:rPr>
      </w:pPr>
      <w:r w:rsidRPr="009342ED">
        <w:rPr>
          <w:rFonts w:ascii="Times New Roman" w:hAnsi="Times New Roman" w:cs="Times New Roman"/>
          <w:sz w:val="24"/>
          <w:szCs w:val="24"/>
        </w:rPr>
        <w:t xml:space="preserve">El número de estudiantes matriculados en Educación Inicial (3 y 4 años) </w:t>
      </w:r>
      <w:r>
        <w:rPr>
          <w:rFonts w:ascii="Times New Roman" w:hAnsi="Times New Roman" w:cs="Times New Roman"/>
          <w:sz w:val="24"/>
          <w:szCs w:val="24"/>
        </w:rPr>
        <w:t>atendidos por el Ministerio de Educación incrementó en 11</w:t>
      </w:r>
      <w:r w:rsidRPr="009342ED">
        <w:rPr>
          <w:rFonts w:ascii="Times New Roman" w:hAnsi="Times New Roman" w:cs="Times New Roman"/>
          <w:sz w:val="24"/>
          <w:szCs w:val="24"/>
        </w:rPr>
        <w:t>.9 veces en ocho periodos lectivos</w:t>
      </w:r>
      <w:r>
        <w:rPr>
          <w:rFonts w:ascii="Times New Roman" w:hAnsi="Times New Roman" w:cs="Times New Roman"/>
          <w:sz w:val="24"/>
          <w:szCs w:val="24"/>
        </w:rPr>
        <w:t>, mientras el acceso al derecho a la educación inicial para niños y niñas de 0 a 5 años incrementó en 69%.</w:t>
      </w:r>
    </w:p>
    <w:p w:rsidR="000F4CBA" w:rsidRPr="009342ED" w:rsidRDefault="000F4CBA" w:rsidP="000F4CBA">
      <w:pPr>
        <w:tabs>
          <w:tab w:val="left" w:pos="0"/>
        </w:tabs>
        <w:spacing w:line="240" w:lineRule="auto"/>
        <w:jc w:val="both"/>
        <w:rPr>
          <w:rFonts w:ascii="Times New Roman" w:hAnsi="Times New Roman" w:cs="Times New Roman"/>
          <w:sz w:val="24"/>
          <w:szCs w:val="24"/>
        </w:rPr>
      </w:pPr>
    </w:p>
    <w:p w:rsidR="000F4CBA" w:rsidRPr="009342ED" w:rsidRDefault="000F4CBA" w:rsidP="000F4CBA">
      <w:pPr>
        <w:spacing w:line="240" w:lineRule="auto"/>
        <w:jc w:val="center"/>
        <w:rPr>
          <w:rFonts w:ascii="Times New Roman" w:hAnsi="Times New Roman" w:cs="Times New Roman"/>
          <w:sz w:val="24"/>
          <w:szCs w:val="24"/>
        </w:rPr>
      </w:pPr>
      <w:r w:rsidRPr="009342ED">
        <w:rPr>
          <w:rFonts w:ascii="Times New Roman" w:hAnsi="Times New Roman" w:cs="Times New Roman"/>
          <w:noProof/>
          <w:sz w:val="24"/>
          <w:szCs w:val="24"/>
          <w:lang w:eastAsia="es-EC"/>
        </w:rPr>
        <w:drawing>
          <wp:inline distT="0" distB="0" distL="0" distR="0">
            <wp:extent cx="4572000" cy="2997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997200"/>
                    </a:xfrm>
                    <a:prstGeom prst="rect">
                      <a:avLst/>
                    </a:prstGeom>
                    <a:noFill/>
                    <a:ln>
                      <a:noFill/>
                    </a:ln>
                  </pic:spPr>
                </pic:pic>
              </a:graphicData>
            </a:graphic>
          </wp:inline>
        </w:drawing>
      </w:r>
    </w:p>
    <w:p w:rsidR="000F4CBA" w:rsidRDefault="000F4CBA" w:rsidP="000F4CBA">
      <w:pPr>
        <w:spacing w:line="240" w:lineRule="auto"/>
        <w:jc w:val="center"/>
        <w:rPr>
          <w:rFonts w:ascii="Times New Roman" w:hAnsi="Times New Roman" w:cs="Times New Roman"/>
          <w:sz w:val="24"/>
          <w:szCs w:val="24"/>
        </w:rPr>
      </w:pPr>
    </w:p>
    <w:p w:rsidR="000F4CBA" w:rsidRPr="009342ED" w:rsidRDefault="000F4CBA" w:rsidP="000F4CBA">
      <w:pPr>
        <w:spacing w:line="240" w:lineRule="auto"/>
        <w:jc w:val="center"/>
        <w:rPr>
          <w:rFonts w:ascii="Times New Roman" w:hAnsi="Times New Roman" w:cs="Times New Roman"/>
          <w:sz w:val="24"/>
          <w:szCs w:val="24"/>
        </w:rPr>
      </w:pPr>
      <w:r w:rsidRPr="009342ED">
        <w:rPr>
          <w:rFonts w:ascii="Times New Roman" w:hAnsi="Times New Roman" w:cs="Times New Roman"/>
          <w:sz w:val="24"/>
          <w:szCs w:val="24"/>
        </w:rPr>
        <w:t>Gráfico</w:t>
      </w:r>
      <w:r>
        <w:rPr>
          <w:rFonts w:ascii="Times New Roman" w:hAnsi="Times New Roman" w:cs="Times New Roman"/>
          <w:sz w:val="24"/>
          <w:szCs w:val="24"/>
        </w:rPr>
        <w:t xml:space="preserve"> 10</w:t>
      </w:r>
      <w:r w:rsidRPr="009342ED">
        <w:rPr>
          <w:rFonts w:ascii="Times New Roman" w:hAnsi="Times New Roman" w:cs="Times New Roman"/>
          <w:sz w:val="24"/>
          <w:szCs w:val="24"/>
        </w:rPr>
        <w:t xml:space="preserve">. Número de niñas y niños de 0 a 5 años atendidos por el </w:t>
      </w:r>
      <w:r>
        <w:rPr>
          <w:rFonts w:ascii="Times New Roman" w:hAnsi="Times New Roman" w:cs="Times New Roman"/>
          <w:sz w:val="24"/>
          <w:szCs w:val="24"/>
        </w:rPr>
        <w:t>Ministerio de Educación</w:t>
      </w:r>
      <w:r w:rsidRPr="009342ED">
        <w:rPr>
          <w:rFonts w:ascii="Times New Roman" w:hAnsi="Times New Roman" w:cs="Times New Roman"/>
          <w:sz w:val="24"/>
          <w:szCs w:val="24"/>
        </w:rPr>
        <w:t xml:space="preserve"> y el MIES. Fuente: Registros administrativos </w:t>
      </w:r>
      <w:r>
        <w:rPr>
          <w:rFonts w:ascii="Times New Roman" w:hAnsi="Times New Roman" w:cs="Times New Roman"/>
          <w:sz w:val="24"/>
          <w:szCs w:val="24"/>
        </w:rPr>
        <w:t>Ministerio de Educación</w:t>
      </w:r>
      <w:r w:rsidRPr="009342ED">
        <w:rPr>
          <w:rFonts w:ascii="Times New Roman" w:hAnsi="Times New Roman" w:cs="Times New Roman"/>
          <w:sz w:val="24"/>
          <w:szCs w:val="24"/>
        </w:rPr>
        <w:t xml:space="preserve"> y MIES. Elaborado: Ministerio de Educación.</w:t>
      </w:r>
    </w:p>
    <w:p w:rsidR="000F4CBA" w:rsidRPr="009342ED" w:rsidRDefault="000F4CBA" w:rsidP="000F4CBA">
      <w:pPr>
        <w:spacing w:line="240" w:lineRule="auto"/>
        <w:jc w:val="both"/>
        <w:rPr>
          <w:rFonts w:ascii="Times New Roman" w:hAnsi="Times New Roman" w:cs="Times New Roman"/>
          <w:sz w:val="24"/>
          <w:szCs w:val="24"/>
        </w:rPr>
      </w:pPr>
    </w:p>
    <w:p w:rsidR="000F4CBA" w:rsidRPr="009342ED" w:rsidRDefault="000F4CBA" w:rsidP="000F4CBA">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 matrícula en la educación básica también ha incrementado. La educación general básica desarrolla las capacidades, habilidades, destrezas y competencias de las niñas, niños y adolescentes desde los cinco años de edad en adelante, para participar en forma crítica, responsable y solidaria en la vida ciudadana y continuar los estudios de bachillerato. La educación general básica está compuesta por diez años de atención obligatoria en los que se refuerzan, amplían y profundizan las capacidades y competencias adquiridas en la etapa anterior, y se introducen las disciplinas básicas garantizando su diversidad cultural y lingüística (LOEI, Art. 42). </w:t>
      </w:r>
      <w:r w:rsidRPr="009342ED">
        <w:rPr>
          <w:rFonts w:ascii="Times New Roman" w:eastAsia="Times New Roman" w:hAnsi="Times New Roman" w:cs="Times New Roman"/>
          <w:sz w:val="24"/>
          <w:szCs w:val="24"/>
        </w:rPr>
        <w:t>En Ecuador durante 2006 la matriculación de la población de 5 a 14 años fue 93.02% mientras que durante 2015 la matriculación de la población del mismo rango de edad fue 97.54%.</w:t>
      </w:r>
      <w:r>
        <w:rPr>
          <w:rFonts w:ascii="Times New Roman" w:eastAsia="Times New Roman" w:hAnsi="Times New Roman" w:cs="Times New Roman"/>
          <w:sz w:val="24"/>
          <w:szCs w:val="24"/>
        </w:rPr>
        <w:t xml:space="preserve"> El número de matriculados ha incrementado 16%.</w:t>
      </w:r>
    </w:p>
    <w:p w:rsidR="000F4CBA" w:rsidRPr="009342ED" w:rsidRDefault="000F4CBA" w:rsidP="000F4CBA">
      <w:pPr>
        <w:spacing w:line="240" w:lineRule="auto"/>
        <w:jc w:val="both"/>
        <w:rPr>
          <w:rFonts w:ascii="Times New Roman" w:hAnsi="Times New Roman" w:cs="Times New Roman"/>
          <w:sz w:val="24"/>
          <w:szCs w:val="24"/>
        </w:rPr>
      </w:pPr>
    </w:p>
    <w:p w:rsidR="000F4CBA" w:rsidRPr="009342ED" w:rsidRDefault="000F4CBA" w:rsidP="000F4CBA">
      <w:pPr>
        <w:spacing w:line="240" w:lineRule="auto"/>
        <w:jc w:val="both"/>
        <w:rPr>
          <w:rFonts w:ascii="Times New Roman" w:hAnsi="Times New Roman" w:cs="Times New Roman"/>
          <w:sz w:val="24"/>
          <w:szCs w:val="24"/>
        </w:rPr>
      </w:pPr>
      <w:r w:rsidRPr="009342ED">
        <w:rPr>
          <w:rFonts w:ascii="Times New Roman" w:eastAsia="Times New Roman" w:hAnsi="Times New Roman" w:cs="Times New Roman"/>
          <w:sz w:val="24"/>
          <w:szCs w:val="24"/>
        </w:rPr>
        <w:t xml:space="preserve">Tabla </w:t>
      </w:r>
      <w:r>
        <w:rPr>
          <w:rFonts w:ascii="Times New Roman" w:eastAsia="Times New Roman" w:hAnsi="Times New Roman" w:cs="Times New Roman"/>
          <w:sz w:val="24"/>
          <w:szCs w:val="24"/>
        </w:rPr>
        <w:t>1</w:t>
      </w:r>
      <w:r w:rsidRPr="009342ED">
        <w:rPr>
          <w:rFonts w:ascii="Times New Roman" w:eastAsia="Times New Roman" w:hAnsi="Times New Roman" w:cs="Times New Roman"/>
          <w:sz w:val="24"/>
          <w:szCs w:val="24"/>
        </w:rPr>
        <w:t>. Matriculación (país, edad: 5-14)</w:t>
      </w:r>
      <w:r>
        <w:rPr>
          <w:rFonts w:ascii="Times New Roman" w:eastAsia="Times New Roman" w:hAnsi="Times New Roman" w:cs="Times New Roman"/>
          <w:sz w:val="24"/>
          <w:szCs w:val="24"/>
        </w:rPr>
        <w:t>. Fuente: ENEMDU 2006 y 2015. Elaboración propia.</w:t>
      </w:r>
    </w:p>
    <w:p w:rsidR="000F4CBA" w:rsidRDefault="000F4CBA" w:rsidP="000F4CBA">
      <w:pPr>
        <w:spacing w:line="240" w:lineRule="auto"/>
        <w:jc w:val="both"/>
        <w:rPr>
          <w:rFonts w:ascii="Times New Roman" w:hAnsi="Times New Roman" w:cs="Times New Roman"/>
          <w:sz w:val="24"/>
          <w:szCs w:val="24"/>
        </w:rPr>
      </w:pPr>
    </w:p>
    <w:p w:rsidR="000F4CBA" w:rsidRDefault="000F4CBA" w:rsidP="000F4CBA">
      <w:pPr>
        <w:spacing w:line="240" w:lineRule="auto"/>
        <w:jc w:val="both"/>
        <w:rPr>
          <w:rFonts w:ascii="Times New Roman" w:hAnsi="Times New Roman" w:cs="Times New Roman"/>
          <w:sz w:val="24"/>
          <w:szCs w:val="24"/>
        </w:rPr>
      </w:pPr>
    </w:p>
    <w:p w:rsidR="000F4CBA" w:rsidRPr="009342ED" w:rsidRDefault="000F4CBA" w:rsidP="000F4CBA">
      <w:pPr>
        <w:spacing w:line="240" w:lineRule="auto"/>
        <w:jc w:val="center"/>
        <w:rPr>
          <w:rFonts w:ascii="Times New Roman" w:hAnsi="Times New Roman" w:cs="Times New Roman"/>
          <w:sz w:val="24"/>
          <w:szCs w:val="24"/>
        </w:rPr>
      </w:pPr>
      <w:r w:rsidRPr="00AD6AF0">
        <w:rPr>
          <w:noProof/>
          <w:lang w:eastAsia="es-EC"/>
        </w:rPr>
        <w:drawing>
          <wp:inline distT="0" distB="0" distL="0" distR="0">
            <wp:extent cx="2808605" cy="6108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8605" cy="610870"/>
                    </a:xfrm>
                    <a:prstGeom prst="rect">
                      <a:avLst/>
                    </a:prstGeom>
                    <a:noFill/>
                    <a:ln>
                      <a:noFill/>
                    </a:ln>
                  </pic:spPr>
                </pic:pic>
              </a:graphicData>
            </a:graphic>
          </wp:inline>
        </w:drawing>
      </w:r>
    </w:p>
    <w:p w:rsidR="000F4CBA" w:rsidRDefault="000F4CBA" w:rsidP="000F4CBA">
      <w:pPr>
        <w:spacing w:line="240" w:lineRule="auto"/>
        <w:jc w:val="both"/>
        <w:rPr>
          <w:rFonts w:ascii="Times New Roman" w:eastAsia="Times New Roman" w:hAnsi="Times New Roman" w:cs="Times New Roman"/>
          <w:sz w:val="24"/>
          <w:szCs w:val="24"/>
        </w:rPr>
      </w:pPr>
    </w:p>
    <w:p w:rsidR="000F4CBA" w:rsidRDefault="000F4CBA" w:rsidP="000F4CBA">
      <w:pPr>
        <w:spacing w:line="240" w:lineRule="auto"/>
        <w:jc w:val="both"/>
        <w:rPr>
          <w:rFonts w:ascii="Times New Roman" w:eastAsia="Times New Roman" w:hAnsi="Times New Roman" w:cs="Times New Roman"/>
          <w:sz w:val="24"/>
          <w:szCs w:val="24"/>
        </w:rPr>
      </w:pPr>
    </w:p>
    <w:p w:rsidR="000F4CBA" w:rsidRPr="009342ED" w:rsidRDefault="000F4CBA" w:rsidP="000F4CBA">
      <w:pPr>
        <w:spacing w:line="240" w:lineRule="auto"/>
        <w:jc w:val="both"/>
        <w:rPr>
          <w:rFonts w:ascii="Times New Roman" w:hAnsi="Times New Roman" w:cs="Times New Roman"/>
          <w:sz w:val="24"/>
          <w:szCs w:val="24"/>
        </w:rPr>
      </w:pPr>
    </w:p>
    <w:p w:rsidR="000F4CBA" w:rsidRPr="009342ED" w:rsidRDefault="000F4CBA" w:rsidP="000F4CBA">
      <w:pPr>
        <w:spacing w:line="240" w:lineRule="auto"/>
        <w:jc w:val="both"/>
        <w:rPr>
          <w:rFonts w:ascii="Times New Roman" w:hAnsi="Times New Roman" w:cs="Times New Roman"/>
          <w:sz w:val="24"/>
          <w:szCs w:val="24"/>
        </w:rPr>
      </w:pPr>
    </w:p>
    <w:p w:rsidR="000F4CBA" w:rsidRPr="009342ED" w:rsidRDefault="000F4CBA" w:rsidP="000F4CBA">
      <w:pPr>
        <w:spacing w:line="240" w:lineRule="auto"/>
        <w:jc w:val="both"/>
        <w:rPr>
          <w:rFonts w:ascii="Times New Roman" w:hAnsi="Times New Roman" w:cs="Times New Roman"/>
          <w:sz w:val="24"/>
          <w:szCs w:val="24"/>
        </w:rPr>
      </w:pPr>
    </w:p>
    <w:p w:rsidR="000F4CBA" w:rsidRPr="009342ED" w:rsidRDefault="000F4CBA" w:rsidP="000F4CBA">
      <w:pPr>
        <w:spacing w:line="240" w:lineRule="auto"/>
        <w:jc w:val="center"/>
        <w:rPr>
          <w:rFonts w:ascii="Times New Roman" w:hAnsi="Times New Roman" w:cs="Times New Roman"/>
          <w:sz w:val="24"/>
          <w:szCs w:val="24"/>
        </w:rPr>
      </w:pPr>
      <w:r w:rsidRPr="009342ED">
        <w:rPr>
          <w:rFonts w:ascii="Times New Roman" w:hAnsi="Times New Roman" w:cs="Times New Roman"/>
          <w:noProof/>
          <w:sz w:val="24"/>
          <w:szCs w:val="24"/>
          <w:lang w:eastAsia="es-EC"/>
        </w:rPr>
        <w:drawing>
          <wp:inline distT="0" distB="0" distL="0" distR="0">
            <wp:extent cx="4932680" cy="2813050"/>
            <wp:effectExtent l="0" t="0" r="127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2680" cy="2813050"/>
                    </a:xfrm>
                    <a:prstGeom prst="rect">
                      <a:avLst/>
                    </a:prstGeom>
                    <a:noFill/>
                    <a:ln>
                      <a:noFill/>
                    </a:ln>
                  </pic:spPr>
                </pic:pic>
              </a:graphicData>
            </a:graphic>
          </wp:inline>
        </w:drawing>
      </w:r>
    </w:p>
    <w:p w:rsidR="000F4CBA" w:rsidRPr="009342ED" w:rsidRDefault="000F4CBA" w:rsidP="000F4CBA">
      <w:pPr>
        <w:spacing w:line="240" w:lineRule="auto"/>
        <w:jc w:val="both"/>
        <w:rPr>
          <w:rFonts w:ascii="Times New Roman" w:hAnsi="Times New Roman" w:cs="Times New Roman"/>
          <w:sz w:val="24"/>
          <w:szCs w:val="24"/>
        </w:rPr>
      </w:pPr>
    </w:p>
    <w:p w:rsidR="000F4CBA" w:rsidRPr="009342ED" w:rsidRDefault="000F4CBA" w:rsidP="000F4CBA">
      <w:pPr>
        <w:spacing w:line="240" w:lineRule="auto"/>
        <w:jc w:val="center"/>
        <w:rPr>
          <w:rFonts w:ascii="Times New Roman" w:hAnsi="Times New Roman" w:cs="Times New Roman"/>
          <w:sz w:val="24"/>
          <w:szCs w:val="24"/>
        </w:rPr>
      </w:pPr>
      <w:r w:rsidRPr="009342ED">
        <w:rPr>
          <w:rFonts w:ascii="Times New Roman" w:eastAsia="Times New Roman" w:hAnsi="Times New Roman" w:cs="Times New Roman"/>
          <w:sz w:val="24"/>
          <w:szCs w:val="24"/>
        </w:rPr>
        <w:lastRenderedPageBreak/>
        <w:t xml:space="preserve">Gráfico </w:t>
      </w:r>
      <w:r>
        <w:rPr>
          <w:rFonts w:ascii="Times New Roman" w:eastAsia="Times New Roman" w:hAnsi="Times New Roman" w:cs="Times New Roman"/>
          <w:sz w:val="24"/>
          <w:szCs w:val="24"/>
        </w:rPr>
        <w:t>11</w:t>
      </w:r>
      <w:r w:rsidRPr="009342ED">
        <w:rPr>
          <w:rFonts w:ascii="Times New Roman" w:eastAsia="Times New Roman" w:hAnsi="Times New Roman" w:cs="Times New Roman"/>
          <w:sz w:val="24"/>
          <w:szCs w:val="24"/>
        </w:rPr>
        <w:t>. Matriculación (país, edad: 5-14)</w:t>
      </w:r>
      <w:r>
        <w:rPr>
          <w:rFonts w:ascii="Times New Roman" w:eastAsia="Times New Roman" w:hAnsi="Times New Roman" w:cs="Times New Roman"/>
          <w:sz w:val="24"/>
          <w:szCs w:val="24"/>
        </w:rPr>
        <w:t>. Fuente: ENEMDU 2006 y 2015. Elaboración propia.</w:t>
      </w:r>
    </w:p>
    <w:p w:rsidR="000F4CBA" w:rsidRPr="009342ED" w:rsidRDefault="000F4CBA" w:rsidP="000F4CBA">
      <w:pPr>
        <w:spacing w:line="240" w:lineRule="auto"/>
        <w:jc w:val="both"/>
        <w:rPr>
          <w:rFonts w:ascii="Times New Roman" w:hAnsi="Times New Roman" w:cs="Times New Roman"/>
          <w:sz w:val="24"/>
          <w:szCs w:val="24"/>
        </w:rPr>
      </w:pPr>
    </w:p>
    <w:p w:rsidR="000F4CBA" w:rsidRDefault="000F4CBA" w:rsidP="000F4CBA">
      <w:pPr>
        <w:spacing w:line="240" w:lineRule="auto"/>
        <w:jc w:val="both"/>
        <w:rPr>
          <w:rFonts w:ascii="Times New Roman" w:eastAsia="Times New Roman" w:hAnsi="Times New Roman" w:cs="Times New Roman"/>
          <w:sz w:val="24"/>
          <w:szCs w:val="24"/>
        </w:rPr>
      </w:pPr>
      <w:r w:rsidRPr="009342ED">
        <w:rPr>
          <w:rFonts w:ascii="Times New Roman" w:eastAsia="Times New Roman" w:hAnsi="Times New Roman" w:cs="Times New Roman"/>
          <w:sz w:val="24"/>
          <w:szCs w:val="24"/>
        </w:rPr>
        <w:t xml:space="preserve">Durante 2006 el nivel </w:t>
      </w:r>
      <w:r>
        <w:rPr>
          <w:rFonts w:ascii="Times New Roman" w:eastAsia="Times New Roman" w:hAnsi="Times New Roman" w:cs="Times New Roman"/>
          <w:sz w:val="24"/>
          <w:szCs w:val="24"/>
        </w:rPr>
        <w:t xml:space="preserve">máximo </w:t>
      </w:r>
      <w:r w:rsidRPr="009342ED">
        <w:rPr>
          <w:rFonts w:ascii="Times New Roman" w:eastAsia="Times New Roman" w:hAnsi="Times New Roman" w:cs="Times New Roman"/>
          <w:sz w:val="24"/>
          <w:szCs w:val="24"/>
        </w:rPr>
        <w:t>de instrucción del 41.10% de los ecuatorianos de 25 a 64 años de edad fue educación primaria (INEC, 2006). Comparativamente, el porcentaje equivalente de la población de la misma edad con el mismo nivel de instrucción en España es 9.57%, en Finlandia 4.08%, en Estados Unidos 2.92% y en Chile 6.47% (O</w:t>
      </w:r>
      <w:r>
        <w:rPr>
          <w:rFonts w:ascii="Times New Roman" w:eastAsia="Times New Roman" w:hAnsi="Times New Roman" w:cs="Times New Roman"/>
          <w:sz w:val="24"/>
          <w:szCs w:val="24"/>
        </w:rPr>
        <w:t>CDE</w:t>
      </w:r>
      <w:r w:rsidRPr="009342ED">
        <w:rPr>
          <w:rFonts w:ascii="Times New Roman" w:eastAsia="Times New Roman" w:hAnsi="Times New Roman" w:cs="Times New Roman"/>
          <w:sz w:val="24"/>
          <w:szCs w:val="24"/>
        </w:rPr>
        <w:t xml:space="preserve">, 2015). Durante 2015 en Ecuador la matriculación </w:t>
      </w:r>
      <w:r>
        <w:rPr>
          <w:rFonts w:ascii="Times New Roman" w:eastAsia="Times New Roman" w:hAnsi="Times New Roman" w:cs="Times New Roman"/>
          <w:sz w:val="24"/>
          <w:szCs w:val="24"/>
        </w:rPr>
        <w:t xml:space="preserve">en educación básica </w:t>
      </w:r>
      <w:r w:rsidRPr="009342ED">
        <w:rPr>
          <w:rFonts w:ascii="Times New Roman" w:eastAsia="Times New Roman" w:hAnsi="Times New Roman" w:cs="Times New Roman"/>
          <w:sz w:val="24"/>
          <w:szCs w:val="24"/>
        </w:rPr>
        <w:t>de la población de 5 a 14 años de edad fue 97.54% (INEC, 2015) mientras que el porcentaje equivalente de los jóvenes matriculados de la misma edad en España fue 97.45%, en Finlandia 96.78%, en Estados Unidos 96.86%, en Chile 97.33%, en Brasil 94.90% y en Colombia 93.15% (O</w:t>
      </w:r>
      <w:r>
        <w:rPr>
          <w:rFonts w:ascii="Times New Roman" w:eastAsia="Times New Roman" w:hAnsi="Times New Roman" w:cs="Times New Roman"/>
          <w:sz w:val="24"/>
          <w:szCs w:val="24"/>
        </w:rPr>
        <w:t>CDE, 2015</w:t>
      </w:r>
      <w:r w:rsidRPr="009342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0F4CBA" w:rsidRPr="009342ED" w:rsidRDefault="000F4CBA" w:rsidP="000F4CBA">
      <w:pPr>
        <w:spacing w:line="240" w:lineRule="auto"/>
        <w:jc w:val="both"/>
        <w:rPr>
          <w:rFonts w:ascii="Times New Roman" w:hAnsi="Times New Roman" w:cs="Times New Roman"/>
          <w:sz w:val="24"/>
          <w:szCs w:val="24"/>
        </w:rPr>
      </w:pPr>
    </w:p>
    <w:p w:rsidR="000F4CBA" w:rsidRPr="009342ED" w:rsidRDefault="000F4CBA" w:rsidP="000F4CBA">
      <w:pPr>
        <w:spacing w:line="240" w:lineRule="auto"/>
        <w:jc w:val="both"/>
        <w:rPr>
          <w:rFonts w:ascii="Times New Roman" w:hAnsi="Times New Roman" w:cs="Times New Roman"/>
          <w:sz w:val="24"/>
          <w:szCs w:val="24"/>
        </w:rPr>
      </w:pPr>
      <w:r w:rsidRPr="009342ED">
        <w:rPr>
          <w:rFonts w:ascii="Times New Roman" w:eastAsia="Times New Roman" w:hAnsi="Times New Roman" w:cs="Times New Roman"/>
          <w:sz w:val="24"/>
          <w:szCs w:val="24"/>
        </w:rPr>
        <w:t xml:space="preserve">Tabla </w:t>
      </w:r>
      <w:r>
        <w:rPr>
          <w:rFonts w:ascii="Times New Roman" w:eastAsia="Times New Roman" w:hAnsi="Times New Roman" w:cs="Times New Roman"/>
          <w:sz w:val="24"/>
          <w:szCs w:val="24"/>
        </w:rPr>
        <w:t>2</w:t>
      </w:r>
      <w:r w:rsidRPr="009342ED">
        <w:rPr>
          <w:rFonts w:ascii="Times New Roman" w:eastAsia="Times New Roman" w:hAnsi="Times New Roman" w:cs="Times New Roman"/>
          <w:sz w:val="24"/>
          <w:szCs w:val="24"/>
        </w:rPr>
        <w:t>. Matriculación de la población de 5 a 14 años (2015)</w:t>
      </w:r>
      <w:r>
        <w:rPr>
          <w:rFonts w:ascii="Times New Roman" w:eastAsia="Times New Roman" w:hAnsi="Times New Roman" w:cs="Times New Roman"/>
          <w:sz w:val="24"/>
          <w:szCs w:val="24"/>
        </w:rPr>
        <w:t>. Fuente: INEC (2015) y OCDE (2015).</w:t>
      </w:r>
      <w:r w:rsidRPr="009342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Elaboración propia.</w:t>
      </w:r>
    </w:p>
    <w:p w:rsidR="000F4CBA" w:rsidRDefault="000F4CBA" w:rsidP="000F4CBA">
      <w:pPr>
        <w:spacing w:line="240" w:lineRule="auto"/>
        <w:jc w:val="both"/>
        <w:rPr>
          <w:rFonts w:ascii="Times New Roman" w:hAnsi="Times New Roman" w:cs="Times New Roman"/>
          <w:sz w:val="24"/>
          <w:szCs w:val="24"/>
        </w:rPr>
      </w:pPr>
    </w:p>
    <w:p w:rsidR="000F4CBA" w:rsidRDefault="000F4CBA" w:rsidP="000F4CBA">
      <w:pPr>
        <w:spacing w:line="240" w:lineRule="auto"/>
        <w:jc w:val="center"/>
      </w:pPr>
      <w:r w:rsidRPr="00AD6AF0">
        <w:rPr>
          <w:noProof/>
          <w:lang w:eastAsia="es-EC"/>
        </w:rPr>
        <w:drawing>
          <wp:inline distT="0" distB="0" distL="0" distR="0">
            <wp:extent cx="2497455" cy="161163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7455" cy="1611630"/>
                    </a:xfrm>
                    <a:prstGeom prst="rect">
                      <a:avLst/>
                    </a:prstGeom>
                    <a:noFill/>
                    <a:ln>
                      <a:noFill/>
                    </a:ln>
                  </pic:spPr>
                </pic:pic>
              </a:graphicData>
            </a:graphic>
          </wp:inline>
        </w:drawing>
      </w:r>
    </w:p>
    <w:p w:rsidR="000F4CBA" w:rsidRDefault="000F4CBA" w:rsidP="000F4CBA">
      <w:pPr>
        <w:spacing w:line="240" w:lineRule="auto"/>
        <w:jc w:val="center"/>
      </w:pPr>
    </w:p>
    <w:p w:rsidR="000F4CBA" w:rsidRPr="009342ED" w:rsidRDefault="000F4CBA" w:rsidP="000F4CBA">
      <w:pPr>
        <w:spacing w:line="240" w:lineRule="auto"/>
        <w:jc w:val="center"/>
        <w:rPr>
          <w:rFonts w:ascii="Times New Roman" w:hAnsi="Times New Roman" w:cs="Times New Roman"/>
          <w:sz w:val="24"/>
          <w:szCs w:val="24"/>
        </w:rPr>
      </w:pPr>
    </w:p>
    <w:p w:rsidR="000F4CBA" w:rsidRPr="009342ED" w:rsidRDefault="000F4CBA" w:rsidP="000F4CBA">
      <w:pPr>
        <w:spacing w:line="240" w:lineRule="auto"/>
        <w:jc w:val="center"/>
        <w:rPr>
          <w:rFonts w:ascii="Times New Roman" w:hAnsi="Times New Roman" w:cs="Times New Roman"/>
          <w:sz w:val="24"/>
          <w:szCs w:val="24"/>
        </w:rPr>
      </w:pPr>
      <w:r w:rsidRPr="009342ED">
        <w:rPr>
          <w:rFonts w:ascii="Times New Roman" w:hAnsi="Times New Roman" w:cs="Times New Roman"/>
          <w:noProof/>
          <w:sz w:val="24"/>
          <w:szCs w:val="24"/>
          <w:lang w:eastAsia="es-EC"/>
        </w:rPr>
        <w:drawing>
          <wp:inline distT="0" distB="0" distL="0" distR="0">
            <wp:extent cx="4752340" cy="275145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2340" cy="2751455"/>
                    </a:xfrm>
                    <a:prstGeom prst="rect">
                      <a:avLst/>
                    </a:prstGeom>
                    <a:noFill/>
                    <a:ln>
                      <a:noFill/>
                    </a:ln>
                  </pic:spPr>
                </pic:pic>
              </a:graphicData>
            </a:graphic>
          </wp:inline>
        </w:drawing>
      </w:r>
    </w:p>
    <w:p w:rsidR="000F4CBA" w:rsidRPr="009342ED" w:rsidRDefault="000F4CBA" w:rsidP="000F4CBA">
      <w:pPr>
        <w:spacing w:line="240" w:lineRule="auto"/>
        <w:jc w:val="center"/>
        <w:rPr>
          <w:rFonts w:ascii="Times New Roman" w:hAnsi="Times New Roman" w:cs="Times New Roman"/>
          <w:sz w:val="24"/>
          <w:szCs w:val="24"/>
        </w:rPr>
      </w:pPr>
      <w:r w:rsidRPr="009342ED">
        <w:rPr>
          <w:rFonts w:ascii="Times New Roman" w:eastAsia="Times New Roman" w:hAnsi="Times New Roman" w:cs="Times New Roman"/>
          <w:sz w:val="24"/>
          <w:szCs w:val="24"/>
        </w:rPr>
        <w:t xml:space="preserve"> </w:t>
      </w:r>
    </w:p>
    <w:p w:rsidR="000F4CBA" w:rsidRPr="009342ED" w:rsidRDefault="000F4CBA" w:rsidP="000F4CBA">
      <w:pPr>
        <w:spacing w:line="240" w:lineRule="auto"/>
        <w:jc w:val="center"/>
        <w:rPr>
          <w:rFonts w:ascii="Times New Roman" w:hAnsi="Times New Roman" w:cs="Times New Roman"/>
          <w:sz w:val="24"/>
          <w:szCs w:val="24"/>
        </w:rPr>
      </w:pPr>
      <w:r w:rsidRPr="009342ED">
        <w:rPr>
          <w:rFonts w:ascii="Times New Roman" w:eastAsia="Times New Roman" w:hAnsi="Times New Roman" w:cs="Times New Roman"/>
          <w:sz w:val="24"/>
          <w:szCs w:val="24"/>
        </w:rPr>
        <w:lastRenderedPageBreak/>
        <w:t xml:space="preserve">Gráfico </w:t>
      </w:r>
      <w:r>
        <w:rPr>
          <w:rFonts w:ascii="Times New Roman" w:eastAsia="Times New Roman" w:hAnsi="Times New Roman" w:cs="Times New Roman"/>
          <w:sz w:val="24"/>
          <w:szCs w:val="24"/>
        </w:rPr>
        <w:t>12</w:t>
      </w:r>
      <w:r w:rsidRPr="009342ED">
        <w:rPr>
          <w:rFonts w:ascii="Times New Roman" w:eastAsia="Times New Roman" w:hAnsi="Times New Roman" w:cs="Times New Roman"/>
          <w:sz w:val="24"/>
          <w:szCs w:val="24"/>
        </w:rPr>
        <w:t>. Matriculación de la población de 5 a 14 años (2015)</w:t>
      </w:r>
      <w:r>
        <w:rPr>
          <w:rFonts w:ascii="Times New Roman" w:eastAsia="Times New Roman" w:hAnsi="Times New Roman" w:cs="Times New Roman"/>
          <w:sz w:val="24"/>
          <w:szCs w:val="24"/>
        </w:rPr>
        <w:t>. Fuente: INEC (2015) y OCDE (2015). Elaboración propia.</w:t>
      </w:r>
    </w:p>
    <w:p w:rsidR="000F4CBA" w:rsidRDefault="000F4CBA" w:rsidP="000F4CBA">
      <w:pPr>
        <w:tabs>
          <w:tab w:val="left" w:pos="4111"/>
        </w:tabs>
        <w:spacing w:line="240" w:lineRule="auto"/>
        <w:rPr>
          <w:rFonts w:ascii="Times New Roman" w:hAnsi="Times New Roman" w:cs="Times New Roman"/>
          <w:sz w:val="24"/>
          <w:szCs w:val="24"/>
        </w:rPr>
      </w:pPr>
    </w:p>
    <w:p w:rsidR="000F4CBA" w:rsidRDefault="000F4CBA" w:rsidP="000F4C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Estas cifras indican que el nivel de formación de los ecuatorianos de 25 a 64 años en los años venideros incrementará sustancialmente, a medida que estas personas cumplan los 25 años, como muestra el próximo gráfico. </w:t>
      </w:r>
    </w:p>
    <w:p w:rsidR="000F4CBA" w:rsidRDefault="000F4CBA" w:rsidP="000F4CBA">
      <w:pPr>
        <w:spacing w:line="240" w:lineRule="auto"/>
        <w:jc w:val="both"/>
        <w:rPr>
          <w:rFonts w:ascii="Times New Roman" w:eastAsia="Times New Roman" w:hAnsi="Times New Roman" w:cs="Times New Roman"/>
          <w:sz w:val="24"/>
          <w:szCs w:val="24"/>
        </w:rPr>
      </w:pPr>
    </w:p>
    <w:p w:rsidR="000F4CBA" w:rsidRDefault="000F4CBA" w:rsidP="000F4CBA">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extent cx="4973955" cy="2394585"/>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3955" cy="2394585"/>
                    </a:xfrm>
                    <a:prstGeom prst="rect">
                      <a:avLst/>
                    </a:prstGeom>
                    <a:noFill/>
                    <a:ln>
                      <a:noFill/>
                    </a:ln>
                  </pic:spPr>
                </pic:pic>
              </a:graphicData>
            </a:graphic>
          </wp:inline>
        </w:drawing>
      </w:r>
    </w:p>
    <w:p w:rsidR="000F4CBA" w:rsidRDefault="000F4CBA" w:rsidP="000F4CBA">
      <w:pPr>
        <w:spacing w:line="240" w:lineRule="auto"/>
        <w:jc w:val="both"/>
        <w:rPr>
          <w:rFonts w:ascii="Times New Roman" w:hAnsi="Times New Roman" w:cs="Times New Roman"/>
          <w:sz w:val="24"/>
          <w:szCs w:val="24"/>
        </w:rPr>
      </w:pPr>
    </w:p>
    <w:p w:rsidR="000F4CBA" w:rsidRDefault="000F4CBA" w:rsidP="000F4CBA">
      <w:pPr>
        <w:spacing w:line="240" w:lineRule="auto"/>
        <w:jc w:val="center"/>
        <w:rPr>
          <w:rFonts w:ascii="Times New Roman" w:hAnsi="Times New Roman" w:cs="Times New Roman"/>
          <w:sz w:val="24"/>
          <w:szCs w:val="24"/>
        </w:rPr>
      </w:pPr>
      <w:r>
        <w:rPr>
          <w:rFonts w:ascii="Times New Roman" w:hAnsi="Times New Roman" w:cs="Times New Roman"/>
          <w:sz w:val="24"/>
          <w:szCs w:val="24"/>
        </w:rPr>
        <w:t>Gráfico 13. Porcentaje de personas entre 16 y 24 años con Educación General Básica Completa. Fuente: ENEMDU – INEC. Elaborado: Ministerio de Educación.</w:t>
      </w:r>
    </w:p>
    <w:p w:rsidR="000F4CBA" w:rsidRDefault="000F4CBA" w:rsidP="000F4CBA">
      <w:pPr>
        <w:spacing w:line="240" w:lineRule="auto"/>
        <w:jc w:val="both"/>
        <w:rPr>
          <w:rFonts w:ascii="Times New Roman" w:hAnsi="Times New Roman" w:cs="Times New Roman"/>
          <w:sz w:val="24"/>
          <w:szCs w:val="24"/>
        </w:rPr>
      </w:pPr>
    </w:p>
    <w:p w:rsidR="000F4CBA" w:rsidRDefault="000F4CBA" w:rsidP="000F4CBA">
      <w:pPr>
        <w:spacing w:line="240" w:lineRule="auto"/>
        <w:jc w:val="both"/>
        <w:rPr>
          <w:rFonts w:ascii="Times New Roman" w:eastAsia="Times New Roman" w:hAnsi="Times New Roman" w:cs="Times New Roman"/>
          <w:sz w:val="24"/>
          <w:szCs w:val="24"/>
        </w:rPr>
      </w:pPr>
    </w:p>
    <w:p w:rsidR="000F4CBA" w:rsidRDefault="000F4CBA" w:rsidP="000F4CBA">
      <w:pPr>
        <w:spacing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Igualmente, la participación de estudiantes en el Sistema de Educación Intercultural Bilingüe incrementó sustancialmente.</w:t>
      </w:r>
    </w:p>
    <w:p w:rsidR="000F4CBA" w:rsidRDefault="000F4CBA" w:rsidP="000F4CBA">
      <w:pPr>
        <w:spacing w:line="240" w:lineRule="auto"/>
        <w:jc w:val="both"/>
        <w:rPr>
          <w:rFonts w:ascii="Times New Roman" w:hAnsi="Times New Roman" w:cs="Times New Roman"/>
          <w:sz w:val="24"/>
          <w:szCs w:val="24"/>
        </w:rPr>
      </w:pPr>
    </w:p>
    <w:p w:rsidR="000F4CBA" w:rsidRDefault="000F4CBA" w:rsidP="000F4CBA">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lastRenderedPageBreak/>
        <w:drawing>
          <wp:inline distT="0" distB="0" distL="0" distR="0">
            <wp:extent cx="4883785" cy="275971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3785" cy="2759710"/>
                    </a:xfrm>
                    <a:prstGeom prst="rect">
                      <a:avLst/>
                    </a:prstGeom>
                    <a:noFill/>
                    <a:ln>
                      <a:noFill/>
                    </a:ln>
                  </pic:spPr>
                </pic:pic>
              </a:graphicData>
            </a:graphic>
          </wp:inline>
        </w:drawing>
      </w:r>
    </w:p>
    <w:p w:rsidR="000F4CBA" w:rsidRDefault="000F4CBA" w:rsidP="000F4CBA">
      <w:pPr>
        <w:spacing w:line="240" w:lineRule="auto"/>
        <w:jc w:val="both"/>
        <w:rPr>
          <w:rFonts w:ascii="Times New Roman" w:hAnsi="Times New Roman" w:cs="Times New Roman"/>
          <w:sz w:val="24"/>
          <w:szCs w:val="24"/>
        </w:rPr>
      </w:pPr>
    </w:p>
    <w:p w:rsidR="000F4CBA" w:rsidRDefault="000F4CBA" w:rsidP="000F4CBA">
      <w:pPr>
        <w:spacing w:line="240" w:lineRule="auto"/>
        <w:jc w:val="center"/>
        <w:rPr>
          <w:rFonts w:ascii="Times New Roman" w:hAnsi="Times New Roman" w:cs="Times New Roman"/>
          <w:sz w:val="24"/>
          <w:szCs w:val="24"/>
        </w:rPr>
      </w:pPr>
      <w:r>
        <w:rPr>
          <w:rFonts w:ascii="Times New Roman" w:hAnsi="Times New Roman" w:cs="Times New Roman"/>
          <w:sz w:val="24"/>
          <w:szCs w:val="24"/>
        </w:rPr>
        <w:t>Gráfico 14. Número de estudiantes en instituciones interculturales bilingües. Fuente: Registros Administrativos del Ministerio de Educación. Elaborado: Ministerio de Educación.</w:t>
      </w:r>
    </w:p>
    <w:p w:rsidR="000F4CBA" w:rsidRDefault="000F4CBA" w:rsidP="000F4CBA">
      <w:pPr>
        <w:spacing w:line="240" w:lineRule="auto"/>
        <w:jc w:val="both"/>
        <w:rPr>
          <w:rFonts w:ascii="Times New Roman" w:hAnsi="Times New Roman" w:cs="Times New Roman"/>
          <w:sz w:val="24"/>
          <w:szCs w:val="24"/>
        </w:rPr>
      </w:pPr>
    </w:p>
    <w:p w:rsidR="000F4CBA" w:rsidRDefault="000F4CBA" w:rsidP="000F4CBA">
      <w:pPr>
        <w:spacing w:line="240" w:lineRule="auto"/>
        <w:jc w:val="both"/>
        <w:rPr>
          <w:rFonts w:ascii="Times New Roman" w:hAnsi="Times New Roman" w:cs="Times New Roman"/>
          <w:sz w:val="24"/>
          <w:szCs w:val="24"/>
        </w:rPr>
      </w:pPr>
      <w:r>
        <w:rPr>
          <w:rFonts w:ascii="Times New Roman" w:hAnsi="Times New Roman" w:cs="Times New Roman"/>
          <w:sz w:val="24"/>
          <w:szCs w:val="24"/>
        </w:rPr>
        <w:t>En el periodo 2014-2015 (inicio) el número de estudiantes matriculados en Educación Intercultural Bilingüe fue 60% más que en 2006-2007, es decir, 53,485 estudiantes más en esta modalidad educativa.</w:t>
      </w:r>
    </w:p>
    <w:p w:rsidR="000F4CBA" w:rsidRDefault="000F4CBA" w:rsidP="000F4CBA">
      <w:pPr>
        <w:spacing w:line="240" w:lineRule="auto"/>
        <w:jc w:val="both"/>
        <w:rPr>
          <w:rFonts w:ascii="Times New Roman" w:hAnsi="Times New Roman" w:cs="Times New Roman"/>
          <w:sz w:val="24"/>
          <w:szCs w:val="24"/>
        </w:rPr>
      </w:pPr>
    </w:p>
    <w:p w:rsidR="000F4CBA" w:rsidRDefault="000F4CBA" w:rsidP="000F4CBA">
      <w:pPr>
        <w:spacing w:line="240" w:lineRule="auto"/>
        <w:jc w:val="both"/>
        <w:rPr>
          <w:rFonts w:ascii="Times New Roman" w:hAnsi="Times New Roman" w:cs="Times New Roman"/>
          <w:sz w:val="24"/>
          <w:szCs w:val="24"/>
        </w:rPr>
      </w:pPr>
    </w:p>
    <w:p w:rsidR="000F4CBA" w:rsidRDefault="000F4CBA" w:rsidP="000F4CBA">
      <w:pPr>
        <w:spacing w:line="240" w:lineRule="auto"/>
        <w:jc w:val="both"/>
        <w:rPr>
          <w:rFonts w:ascii="Times New Roman" w:hAnsi="Times New Roman" w:cs="Times New Roman"/>
          <w:sz w:val="24"/>
          <w:szCs w:val="24"/>
        </w:rPr>
      </w:pPr>
    </w:p>
    <w:p w:rsidR="000F4CBA" w:rsidRDefault="000F4CBA" w:rsidP="000F4CBA">
      <w:pPr>
        <w:spacing w:line="240" w:lineRule="auto"/>
        <w:jc w:val="both"/>
        <w:rPr>
          <w:rFonts w:ascii="Times New Roman" w:hAnsi="Times New Roman" w:cs="Times New Roman"/>
          <w:sz w:val="24"/>
          <w:szCs w:val="24"/>
        </w:rPr>
      </w:pPr>
    </w:p>
    <w:p w:rsidR="000F4CBA" w:rsidRDefault="000F4CBA" w:rsidP="000F4CB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 tasa neta de asistencia de EGB tiene un mayor incremento en el quintil más pobre y también en el área rural del país si comparamos el año 2006 con el 2015, con lo cual se evidencia un avance sustancial en el cierre de las desigualdades del acceso a la educación entre ricos y pobres, y entre personas de la ciudad y del campo. Las cifras muestran que si bien puede haber desfases en el acceso a la educación para niños en escuelas </w:t>
      </w:r>
      <w:proofErr w:type="spellStart"/>
      <w:r>
        <w:rPr>
          <w:rFonts w:ascii="Times New Roman" w:hAnsi="Times New Roman" w:cs="Times New Roman"/>
          <w:sz w:val="24"/>
          <w:szCs w:val="24"/>
        </w:rPr>
        <w:t>unidocentes</w:t>
      </w:r>
      <w:proofErr w:type="spellEnd"/>
      <w:r>
        <w:rPr>
          <w:rFonts w:ascii="Times New Roman" w:hAnsi="Times New Roman" w:cs="Times New Roman"/>
          <w:sz w:val="24"/>
          <w:szCs w:val="24"/>
        </w:rPr>
        <w:t xml:space="preserve"> cerradas, el efecto neto de la política pública ha sido un sustancial mayor acceso a la educación especialmente en los sectores donde se encontraban los mayores vacíos. </w:t>
      </w:r>
    </w:p>
    <w:p w:rsidR="000F4CBA" w:rsidRDefault="000F4CBA" w:rsidP="000F4CBA">
      <w:pPr>
        <w:spacing w:line="240" w:lineRule="auto"/>
        <w:jc w:val="both"/>
        <w:rPr>
          <w:rFonts w:ascii="Times New Roman" w:hAnsi="Times New Roman" w:cs="Times New Roman"/>
          <w:sz w:val="24"/>
          <w:szCs w:val="24"/>
        </w:rPr>
      </w:pPr>
    </w:p>
    <w:p w:rsidR="000F4CBA" w:rsidRDefault="000F4CBA" w:rsidP="000F4CBA">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lastRenderedPageBreak/>
        <w:drawing>
          <wp:inline distT="0" distB="0" distL="0" distR="0">
            <wp:extent cx="4998720" cy="251333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8720" cy="2513330"/>
                    </a:xfrm>
                    <a:prstGeom prst="rect">
                      <a:avLst/>
                    </a:prstGeom>
                    <a:noFill/>
                    <a:ln>
                      <a:noFill/>
                    </a:ln>
                  </pic:spPr>
                </pic:pic>
              </a:graphicData>
            </a:graphic>
          </wp:inline>
        </w:drawing>
      </w:r>
    </w:p>
    <w:p w:rsidR="000F4CBA" w:rsidRDefault="000F4CBA" w:rsidP="000F4CBA">
      <w:pPr>
        <w:spacing w:line="240" w:lineRule="auto"/>
        <w:jc w:val="both"/>
        <w:rPr>
          <w:rFonts w:ascii="Times New Roman" w:hAnsi="Times New Roman" w:cs="Times New Roman"/>
          <w:sz w:val="24"/>
          <w:szCs w:val="24"/>
        </w:rPr>
      </w:pPr>
    </w:p>
    <w:p w:rsidR="000F4CBA" w:rsidRDefault="000F4CBA" w:rsidP="000F4CBA">
      <w:pPr>
        <w:spacing w:line="240" w:lineRule="auto"/>
        <w:jc w:val="center"/>
        <w:rPr>
          <w:rFonts w:ascii="Times New Roman" w:hAnsi="Times New Roman" w:cs="Times New Roman"/>
          <w:sz w:val="24"/>
          <w:szCs w:val="24"/>
        </w:rPr>
      </w:pPr>
      <w:r>
        <w:rPr>
          <w:rFonts w:ascii="Times New Roman" w:hAnsi="Times New Roman" w:cs="Times New Roman"/>
          <w:sz w:val="24"/>
          <w:szCs w:val="24"/>
        </w:rPr>
        <w:t>Gráfico 15. Tasa neta de asistencia de EGB (Quintil 1 y 5). Fuente: ENEMDU – INEC. Elaborado: Ministerio de Educación.</w:t>
      </w:r>
    </w:p>
    <w:p w:rsidR="000F4CBA" w:rsidRDefault="000F4CBA" w:rsidP="000F4CBA">
      <w:pPr>
        <w:spacing w:line="240" w:lineRule="auto"/>
        <w:jc w:val="both"/>
        <w:rPr>
          <w:rFonts w:ascii="Times New Roman" w:hAnsi="Times New Roman" w:cs="Times New Roman"/>
          <w:sz w:val="24"/>
          <w:szCs w:val="24"/>
        </w:rPr>
      </w:pPr>
    </w:p>
    <w:p w:rsidR="000F4CBA" w:rsidRDefault="000F4CBA" w:rsidP="000F4CBA">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extent cx="4973955" cy="28130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3955" cy="2813050"/>
                    </a:xfrm>
                    <a:prstGeom prst="rect">
                      <a:avLst/>
                    </a:prstGeom>
                    <a:noFill/>
                    <a:ln>
                      <a:noFill/>
                    </a:ln>
                  </pic:spPr>
                </pic:pic>
              </a:graphicData>
            </a:graphic>
          </wp:inline>
        </w:drawing>
      </w:r>
    </w:p>
    <w:p w:rsidR="000F4CBA" w:rsidRDefault="000F4CBA" w:rsidP="000F4CBA">
      <w:pPr>
        <w:spacing w:line="240" w:lineRule="auto"/>
        <w:jc w:val="both"/>
        <w:rPr>
          <w:rFonts w:ascii="Times New Roman" w:hAnsi="Times New Roman" w:cs="Times New Roman"/>
          <w:sz w:val="24"/>
          <w:szCs w:val="24"/>
        </w:rPr>
      </w:pPr>
    </w:p>
    <w:p w:rsidR="000F4CBA" w:rsidRDefault="000F4CBA" w:rsidP="000F4CBA">
      <w:pPr>
        <w:spacing w:line="240" w:lineRule="auto"/>
        <w:jc w:val="center"/>
        <w:rPr>
          <w:rFonts w:ascii="Times New Roman" w:hAnsi="Times New Roman" w:cs="Times New Roman"/>
          <w:sz w:val="24"/>
          <w:szCs w:val="24"/>
        </w:rPr>
      </w:pPr>
      <w:r>
        <w:rPr>
          <w:rFonts w:ascii="Times New Roman" w:hAnsi="Times New Roman" w:cs="Times New Roman"/>
          <w:sz w:val="24"/>
          <w:szCs w:val="24"/>
        </w:rPr>
        <w:t>Gráfico 16. Tasa de asistencia EGB, 2006 y 2015, rural y urbano. Fuente: ENEMDU – INEC. Elaborado: Ministerio de Educación.</w:t>
      </w:r>
    </w:p>
    <w:p w:rsidR="00BF442D" w:rsidRDefault="00BF442D">
      <w:bookmarkStart w:id="0" w:name="_GoBack"/>
      <w:bookmarkEnd w:id="0"/>
    </w:p>
    <w:sectPr w:rsidR="00BF442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82033"/>
    <w:multiLevelType w:val="hybridMultilevel"/>
    <w:tmpl w:val="FDF8B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982BD9"/>
    <w:multiLevelType w:val="hybridMultilevel"/>
    <w:tmpl w:val="BBDA2D4A"/>
    <w:lvl w:ilvl="0" w:tplc="FC0CE706">
      <w:start w:val="1"/>
      <w:numFmt w:val="decimal"/>
      <w:lvlText w:val="%1."/>
      <w:lvlJc w:val="left"/>
      <w:pPr>
        <w:ind w:left="720" w:hanging="360"/>
      </w:pPr>
      <w:rPr>
        <w:rFonts w:hint="default"/>
        <w:sz w:val="32"/>
        <w:szCs w:val="3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2D"/>
    <w:rsid w:val="000F4CBA"/>
    <w:rsid w:val="00655A68"/>
    <w:rsid w:val="00B33AD2"/>
    <w:rsid w:val="00BF442D"/>
    <w:rsid w:val="00CB4C7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A3CC9B-54DD-47FD-B06A-E5B2979F7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1698</Words>
  <Characters>9340</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 WARS</dc:creator>
  <cp:keywords/>
  <dc:description/>
  <cp:lastModifiedBy>STAR WARS</cp:lastModifiedBy>
  <cp:revision>3</cp:revision>
  <dcterms:created xsi:type="dcterms:W3CDTF">2017-12-30T03:23:00Z</dcterms:created>
  <dcterms:modified xsi:type="dcterms:W3CDTF">2017-12-30T03:35:00Z</dcterms:modified>
</cp:coreProperties>
</file>