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AD2" w:rsidRDefault="00BF442D">
      <w:r w:rsidRPr="00BF442D">
        <w:rPr>
          <w:noProof/>
          <w:lang w:eastAsia="es-EC"/>
        </w:rPr>
        <w:drawing>
          <wp:inline distT="0" distB="0" distL="0" distR="0">
            <wp:extent cx="5400040" cy="7406783"/>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7406783"/>
                    </a:xfrm>
                    <a:prstGeom prst="rect">
                      <a:avLst/>
                    </a:prstGeom>
                    <a:noFill/>
                    <a:ln>
                      <a:noFill/>
                    </a:ln>
                  </pic:spPr>
                </pic:pic>
              </a:graphicData>
            </a:graphic>
          </wp:inline>
        </w:drawing>
      </w:r>
      <w:r w:rsidRPr="00BF442D">
        <w:rPr>
          <w:noProof/>
          <w:lang w:eastAsia="es-EC"/>
        </w:rPr>
        <w:lastRenderedPageBreak/>
        <w:drawing>
          <wp:inline distT="0" distB="0" distL="0" distR="0">
            <wp:extent cx="5400040" cy="7579300"/>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7579300"/>
                    </a:xfrm>
                    <a:prstGeom prst="rect">
                      <a:avLst/>
                    </a:prstGeom>
                    <a:noFill/>
                    <a:ln>
                      <a:noFill/>
                    </a:ln>
                  </pic:spPr>
                </pic:pic>
              </a:graphicData>
            </a:graphic>
          </wp:inline>
        </w:drawing>
      </w:r>
    </w:p>
    <w:p w:rsidR="00BF442D" w:rsidRDefault="00BF442D"/>
    <w:p w:rsidR="00BF442D" w:rsidRDefault="00BF442D"/>
    <w:p w:rsidR="00BF442D" w:rsidRDefault="00BF442D"/>
    <w:p w:rsidR="00BF442D" w:rsidRDefault="00BF442D"/>
    <w:p w:rsidR="00BF442D" w:rsidRDefault="00BF442D"/>
    <w:p w:rsidR="00BF442D" w:rsidRDefault="00BF442D">
      <w:r>
        <w:t xml:space="preserve">Ponencia presentada para en la Conferencia sobre el Atlas del derecho a la educación en los años de la Revolución Ciudadana, </w:t>
      </w:r>
      <w:r w:rsidR="00F1299D">
        <w:t>Tulcán</w:t>
      </w:r>
      <w:r>
        <w:t>, 15 de Marzo, 2017</w:t>
      </w:r>
    </w:p>
    <w:p w:rsidR="00F1299D" w:rsidRPr="00BE661B" w:rsidRDefault="00F1299D" w:rsidP="00F1299D">
      <w:pPr>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32"/>
          <w:szCs w:val="32"/>
          <w:lang w:val="es-ES"/>
        </w:rPr>
        <w:t>El derecho a la</w:t>
      </w:r>
      <w:r w:rsidRPr="00431C35">
        <w:rPr>
          <w:rFonts w:ascii="Times New Roman" w:hAnsi="Times New Roman" w:cs="Times New Roman"/>
          <w:b/>
          <w:sz w:val="32"/>
          <w:szCs w:val="32"/>
          <w:lang w:val="es-ES"/>
        </w:rPr>
        <w:t xml:space="preserve"> educación como deuda social</w:t>
      </w:r>
      <w:r>
        <w:rPr>
          <w:rFonts w:ascii="Times New Roman" w:hAnsi="Times New Roman" w:cs="Times New Roman"/>
          <w:b/>
          <w:sz w:val="32"/>
          <w:szCs w:val="32"/>
          <w:lang w:val="es-ES"/>
        </w:rPr>
        <w:t xml:space="preserve"> </w:t>
      </w:r>
    </w:p>
    <w:p w:rsidR="00F1299D" w:rsidRDefault="00F1299D" w:rsidP="00F1299D">
      <w:pPr>
        <w:spacing w:line="240" w:lineRule="auto"/>
        <w:ind w:hanging="360"/>
        <w:jc w:val="both"/>
        <w:rPr>
          <w:rFonts w:ascii="Times New Roman" w:hAnsi="Times New Roman" w:cs="Times New Roman"/>
          <w:sz w:val="24"/>
          <w:szCs w:val="24"/>
        </w:rPr>
      </w:pPr>
    </w:p>
    <w:p w:rsidR="00F1299D" w:rsidRDefault="00F1299D" w:rsidP="00F1299D">
      <w:pPr>
        <w:spacing w:line="240" w:lineRule="auto"/>
        <w:jc w:val="both"/>
        <w:rPr>
          <w:rFonts w:ascii="Times New Roman" w:hAnsi="Times New Roman" w:cs="Times New Roman"/>
          <w:sz w:val="24"/>
          <w:szCs w:val="24"/>
        </w:rPr>
      </w:pPr>
      <w:r w:rsidRPr="009342ED">
        <w:rPr>
          <w:rFonts w:ascii="Times New Roman" w:hAnsi="Times New Roman" w:cs="Times New Roman"/>
          <w:sz w:val="24"/>
          <w:szCs w:val="24"/>
        </w:rPr>
        <w:t xml:space="preserve">El Ecuador arranca su era neoliberal con el ascenso de Osvaldo Hurtado </w:t>
      </w:r>
      <w:r>
        <w:rPr>
          <w:rFonts w:ascii="Times New Roman" w:hAnsi="Times New Roman" w:cs="Times New Roman"/>
          <w:sz w:val="24"/>
          <w:szCs w:val="24"/>
        </w:rPr>
        <w:t>después</w:t>
      </w:r>
      <w:r w:rsidRPr="009342ED">
        <w:rPr>
          <w:rFonts w:ascii="Times New Roman" w:hAnsi="Times New Roman" w:cs="Times New Roman"/>
          <w:sz w:val="24"/>
          <w:szCs w:val="24"/>
        </w:rPr>
        <w:t xml:space="preserve"> de la muerte de Jaime </w:t>
      </w:r>
      <w:proofErr w:type="spellStart"/>
      <w:r w:rsidRPr="009342ED">
        <w:rPr>
          <w:rFonts w:ascii="Times New Roman" w:hAnsi="Times New Roman" w:cs="Times New Roman"/>
          <w:sz w:val="24"/>
          <w:szCs w:val="24"/>
        </w:rPr>
        <w:t>Roldós</w:t>
      </w:r>
      <w:proofErr w:type="spellEnd"/>
      <w:r w:rsidRPr="009342ED">
        <w:rPr>
          <w:rFonts w:ascii="Times New Roman" w:hAnsi="Times New Roman" w:cs="Times New Roman"/>
          <w:sz w:val="24"/>
          <w:szCs w:val="24"/>
        </w:rPr>
        <w:t xml:space="preserve"> en 1981. Propio del patrón general del neoliberalismo, en nombre del respeto a los derechos de propiedad y fomento al crecimiento económico, se desmanteló el papel regulador del Estado en sus funciones de velar por los derechos e intereses de toda la sociedad y se desmanteló el régimen de bienestar, al mismo tiempo que se estancó el crecimiento y se redistribuyó la propiedad de la clase media y baja a actores y sectores más ricos, en un aproximadamente 20% del PIB (</w:t>
      </w:r>
      <w:proofErr w:type="spellStart"/>
      <w:r w:rsidRPr="009342ED">
        <w:rPr>
          <w:rFonts w:ascii="Times New Roman" w:hAnsi="Times New Roman" w:cs="Times New Roman"/>
          <w:sz w:val="24"/>
          <w:szCs w:val="24"/>
        </w:rPr>
        <w:t>Weisbrot</w:t>
      </w:r>
      <w:proofErr w:type="spellEnd"/>
      <w:r w:rsidRPr="009342ED">
        <w:rPr>
          <w:rFonts w:ascii="Times New Roman" w:hAnsi="Times New Roman" w:cs="Times New Roman"/>
          <w:sz w:val="24"/>
          <w:szCs w:val="24"/>
        </w:rPr>
        <w:t xml:space="preserve"> </w:t>
      </w:r>
      <w:r>
        <w:rPr>
          <w:rFonts w:ascii="Times New Roman" w:hAnsi="Times New Roman" w:cs="Times New Roman"/>
          <w:sz w:val="24"/>
          <w:szCs w:val="24"/>
        </w:rPr>
        <w:t>&amp;</w:t>
      </w:r>
      <w:r w:rsidRPr="009342ED">
        <w:rPr>
          <w:rFonts w:ascii="Times New Roman" w:hAnsi="Times New Roman" w:cs="Times New Roman"/>
          <w:sz w:val="24"/>
          <w:szCs w:val="24"/>
        </w:rPr>
        <w:t xml:space="preserve"> </w:t>
      </w:r>
      <w:proofErr w:type="spellStart"/>
      <w:r w:rsidRPr="009342ED">
        <w:rPr>
          <w:rFonts w:ascii="Times New Roman" w:hAnsi="Times New Roman" w:cs="Times New Roman"/>
          <w:sz w:val="24"/>
          <w:szCs w:val="24"/>
        </w:rPr>
        <w:t>Ray</w:t>
      </w:r>
      <w:proofErr w:type="spellEnd"/>
      <w:r>
        <w:rPr>
          <w:rFonts w:ascii="Times New Roman" w:hAnsi="Times New Roman" w:cs="Times New Roman"/>
          <w:sz w:val="24"/>
          <w:szCs w:val="24"/>
        </w:rPr>
        <w:t>,</w:t>
      </w:r>
      <w:r w:rsidRPr="009342ED">
        <w:rPr>
          <w:rFonts w:ascii="Times New Roman" w:hAnsi="Times New Roman" w:cs="Times New Roman"/>
          <w:sz w:val="24"/>
          <w:szCs w:val="24"/>
        </w:rPr>
        <w:t xml:space="preserve"> 2011; Palma</w:t>
      </w:r>
      <w:r>
        <w:rPr>
          <w:rFonts w:ascii="Times New Roman" w:hAnsi="Times New Roman" w:cs="Times New Roman"/>
          <w:sz w:val="24"/>
          <w:szCs w:val="24"/>
        </w:rPr>
        <w:t>,</w:t>
      </w:r>
      <w:r w:rsidRPr="009342ED">
        <w:rPr>
          <w:rFonts w:ascii="Times New Roman" w:hAnsi="Times New Roman" w:cs="Times New Roman"/>
          <w:sz w:val="24"/>
          <w:szCs w:val="24"/>
        </w:rPr>
        <w:t xml:space="preserve"> 2014; </w:t>
      </w:r>
      <w:proofErr w:type="spellStart"/>
      <w:r>
        <w:rPr>
          <w:rFonts w:ascii="Times New Roman" w:hAnsi="Times New Roman" w:cs="Times New Roman"/>
          <w:sz w:val="24"/>
          <w:szCs w:val="24"/>
        </w:rPr>
        <w:t>Ostry</w:t>
      </w:r>
      <w:proofErr w:type="spellEnd"/>
      <w:r>
        <w:rPr>
          <w:rFonts w:ascii="Times New Roman" w:hAnsi="Times New Roman" w:cs="Times New Roman"/>
          <w:sz w:val="24"/>
          <w:szCs w:val="24"/>
        </w:rPr>
        <w:t xml:space="preserve">, </w:t>
      </w:r>
      <w:proofErr w:type="spellStart"/>
      <w:r w:rsidRPr="009342ED">
        <w:rPr>
          <w:rFonts w:ascii="Times New Roman" w:hAnsi="Times New Roman" w:cs="Times New Roman"/>
          <w:sz w:val="24"/>
          <w:szCs w:val="24"/>
        </w:rPr>
        <w:t>Loungani</w:t>
      </w:r>
      <w:proofErr w:type="spellEnd"/>
      <w:r w:rsidRPr="009342ED">
        <w:rPr>
          <w:rFonts w:ascii="Times New Roman" w:hAnsi="Times New Roman" w:cs="Times New Roman"/>
          <w:sz w:val="24"/>
          <w:szCs w:val="24"/>
        </w:rPr>
        <w:t xml:space="preserve"> </w:t>
      </w:r>
      <w:r>
        <w:rPr>
          <w:rFonts w:ascii="Times New Roman" w:hAnsi="Times New Roman" w:cs="Times New Roman"/>
          <w:sz w:val="24"/>
          <w:szCs w:val="24"/>
        </w:rPr>
        <w:t>&amp;</w:t>
      </w:r>
      <w:r w:rsidRPr="009342ED">
        <w:rPr>
          <w:rFonts w:ascii="Times New Roman" w:hAnsi="Times New Roman" w:cs="Times New Roman"/>
          <w:sz w:val="24"/>
          <w:szCs w:val="24"/>
        </w:rPr>
        <w:t xml:space="preserve"> </w:t>
      </w:r>
      <w:proofErr w:type="spellStart"/>
      <w:r w:rsidRPr="009342ED">
        <w:rPr>
          <w:rFonts w:ascii="Times New Roman" w:hAnsi="Times New Roman" w:cs="Times New Roman"/>
          <w:sz w:val="24"/>
          <w:szCs w:val="24"/>
        </w:rPr>
        <w:t>Furceri</w:t>
      </w:r>
      <w:proofErr w:type="spellEnd"/>
      <w:r>
        <w:rPr>
          <w:rFonts w:ascii="Times New Roman" w:hAnsi="Times New Roman" w:cs="Times New Roman"/>
          <w:sz w:val="24"/>
          <w:szCs w:val="24"/>
        </w:rPr>
        <w:t>,</w:t>
      </w:r>
      <w:r w:rsidRPr="009342ED">
        <w:rPr>
          <w:rFonts w:ascii="Times New Roman" w:hAnsi="Times New Roman" w:cs="Times New Roman"/>
          <w:sz w:val="24"/>
          <w:szCs w:val="24"/>
        </w:rPr>
        <w:t xml:space="preserve"> 2016; Restrepo</w:t>
      </w:r>
      <w:r>
        <w:rPr>
          <w:rFonts w:ascii="Times New Roman" w:hAnsi="Times New Roman" w:cs="Times New Roman"/>
          <w:sz w:val="24"/>
          <w:szCs w:val="24"/>
        </w:rPr>
        <w:t>,</w:t>
      </w:r>
      <w:r w:rsidRPr="009342ED">
        <w:rPr>
          <w:rFonts w:ascii="Times New Roman" w:hAnsi="Times New Roman" w:cs="Times New Roman"/>
          <w:sz w:val="24"/>
          <w:szCs w:val="24"/>
        </w:rPr>
        <w:t xml:space="preserve"> 2015</w:t>
      </w:r>
      <w:r>
        <w:rPr>
          <w:rFonts w:ascii="Times New Roman" w:hAnsi="Times New Roman" w:cs="Times New Roman"/>
          <w:sz w:val="24"/>
          <w:szCs w:val="24"/>
        </w:rPr>
        <w:t>a</w:t>
      </w:r>
      <w:r w:rsidRPr="009342ED">
        <w:rPr>
          <w:rFonts w:ascii="Times New Roman" w:hAnsi="Times New Roman" w:cs="Times New Roman"/>
          <w:sz w:val="24"/>
          <w:szCs w:val="24"/>
        </w:rPr>
        <w:t xml:space="preserve"> con cifras del Banco Mundial). Esta era se termina en el 2007 en Ecuador con la elección al gobierno de Rafael Correa, cuando </w:t>
      </w:r>
      <w:r>
        <w:rPr>
          <w:rFonts w:ascii="Times New Roman" w:hAnsi="Times New Roman" w:cs="Times New Roman"/>
          <w:sz w:val="24"/>
          <w:szCs w:val="24"/>
        </w:rPr>
        <w:t>impulsa</w:t>
      </w:r>
      <w:r w:rsidRPr="009342ED">
        <w:rPr>
          <w:rFonts w:ascii="Times New Roman" w:hAnsi="Times New Roman" w:cs="Times New Roman"/>
          <w:sz w:val="24"/>
          <w:szCs w:val="24"/>
        </w:rPr>
        <w:t xml:space="preserve"> el crecimiento económico y se revierte la tendencia hacia la desigualdad, avanzando hacia la igualdad al nivel más rápido registrado en las bases de datos globales del Banco Mundial</w:t>
      </w:r>
      <w:r>
        <w:rPr>
          <w:rFonts w:ascii="Times New Roman" w:hAnsi="Times New Roman" w:cs="Times New Roman"/>
          <w:sz w:val="24"/>
          <w:szCs w:val="24"/>
        </w:rPr>
        <w:t>.</w:t>
      </w:r>
    </w:p>
    <w:p w:rsidR="00F1299D" w:rsidRDefault="00F1299D" w:rsidP="00F1299D">
      <w:pPr>
        <w:spacing w:line="240" w:lineRule="auto"/>
        <w:jc w:val="both"/>
        <w:rPr>
          <w:rFonts w:ascii="Times New Roman" w:hAnsi="Times New Roman" w:cs="Times New Roman"/>
          <w:sz w:val="24"/>
          <w:szCs w:val="24"/>
        </w:rPr>
      </w:pPr>
    </w:p>
    <w:p w:rsidR="00F1299D" w:rsidRPr="009342ED" w:rsidRDefault="00F1299D" w:rsidP="00F1299D">
      <w:pPr>
        <w:spacing w:line="240" w:lineRule="auto"/>
        <w:jc w:val="both"/>
        <w:rPr>
          <w:rFonts w:ascii="Times New Roman" w:hAnsi="Times New Roman" w:cs="Times New Roman"/>
          <w:sz w:val="24"/>
          <w:szCs w:val="24"/>
        </w:rPr>
      </w:pPr>
    </w:p>
    <w:p w:rsidR="00F1299D" w:rsidRPr="009342ED" w:rsidRDefault="00F1299D" w:rsidP="00F1299D">
      <w:pPr>
        <w:spacing w:line="240" w:lineRule="auto"/>
        <w:jc w:val="center"/>
        <w:rPr>
          <w:rFonts w:ascii="Times New Roman" w:hAnsi="Times New Roman" w:cs="Times New Roman"/>
          <w:sz w:val="24"/>
          <w:szCs w:val="24"/>
        </w:rPr>
      </w:pPr>
      <w:r w:rsidRPr="009342ED">
        <w:rPr>
          <w:rFonts w:ascii="Times New Roman" w:hAnsi="Times New Roman" w:cs="Times New Roman"/>
          <w:noProof/>
          <w:sz w:val="24"/>
          <w:szCs w:val="24"/>
          <w:lang w:eastAsia="es-EC"/>
        </w:rPr>
        <w:drawing>
          <wp:inline distT="0" distB="0" distL="0" distR="0">
            <wp:extent cx="4620895" cy="2316480"/>
            <wp:effectExtent l="0" t="0" r="825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0895" cy="2316480"/>
                    </a:xfrm>
                    <a:prstGeom prst="rect">
                      <a:avLst/>
                    </a:prstGeom>
                    <a:noFill/>
                    <a:ln>
                      <a:noFill/>
                    </a:ln>
                  </pic:spPr>
                </pic:pic>
              </a:graphicData>
            </a:graphic>
          </wp:inline>
        </w:drawing>
      </w:r>
    </w:p>
    <w:p w:rsidR="00F1299D" w:rsidRDefault="00F1299D" w:rsidP="00F1299D">
      <w:pPr>
        <w:spacing w:line="240" w:lineRule="auto"/>
        <w:jc w:val="center"/>
        <w:rPr>
          <w:rFonts w:ascii="Times New Roman" w:hAnsi="Times New Roman" w:cs="Times New Roman"/>
          <w:sz w:val="24"/>
          <w:szCs w:val="24"/>
        </w:rPr>
      </w:pPr>
    </w:p>
    <w:p w:rsidR="00F1299D" w:rsidRDefault="00F1299D" w:rsidP="00F1299D">
      <w:pPr>
        <w:spacing w:line="240" w:lineRule="auto"/>
        <w:jc w:val="center"/>
        <w:rPr>
          <w:rFonts w:ascii="Times New Roman" w:hAnsi="Times New Roman" w:cs="Times New Roman"/>
          <w:sz w:val="24"/>
          <w:szCs w:val="24"/>
        </w:rPr>
      </w:pPr>
      <w:r w:rsidRPr="009342ED">
        <w:rPr>
          <w:rFonts w:ascii="Times New Roman" w:hAnsi="Times New Roman" w:cs="Times New Roman"/>
          <w:sz w:val="24"/>
          <w:szCs w:val="24"/>
        </w:rPr>
        <w:t>Gráfico 1. Crecimiento económico con datos del PIB Constante (2010) y Población del Banco Mundial (2016). Elaboración propia.</w:t>
      </w:r>
    </w:p>
    <w:p w:rsidR="00F1299D" w:rsidRPr="009342ED" w:rsidRDefault="00F1299D" w:rsidP="00F1299D">
      <w:pPr>
        <w:spacing w:line="240" w:lineRule="auto"/>
        <w:jc w:val="center"/>
        <w:rPr>
          <w:rFonts w:ascii="Times New Roman" w:hAnsi="Times New Roman" w:cs="Times New Roman"/>
          <w:sz w:val="24"/>
          <w:szCs w:val="24"/>
        </w:rPr>
      </w:pPr>
    </w:p>
    <w:p w:rsidR="00F1299D" w:rsidRDefault="00F1299D" w:rsidP="00F1299D">
      <w:pPr>
        <w:spacing w:line="240" w:lineRule="auto"/>
        <w:jc w:val="both"/>
        <w:rPr>
          <w:rFonts w:ascii="Times New Roman" w:hAnsi="Times New Roman" w:cs="Times New Roman"/>
          <w:sz w:val="24"/>
          <w:szCs w:val="24"/>
        </w:rPr>
      </w:pPr>
      <w:r w:rsidRPr="009342ED">
        <w:rPr>
          <w:rFonts w:ascii="Times New Roman" w:hAnsi="Times New Roman" w:cs="Times New Roman"/>
          <w:sz w:val="24"/>
          <w:szCs w:val="24"/>
        </w:rPr>
        <w:t xml:space="preserve">Dos fueron los mecanismos centrales de privilegiar los intereses de propiedad de actores del sector más rico del Ecuador. Primero, fue el endeudamiento público, por parte de una dictadura militar de finales de los </w:t>
      </w:r>
      <w:r>
        <w:rPr>
          <w:rFonts w:ascii="Times New Roman" w:hAnsi="Times New Roman" w:cs="Times New Roman"/>
          <w:sz w:val="24"/>
          <w:szCs w:val="24"/>
        </w:rPr>
        <w:t xml:space="preserve">años </w:t>
      </w:r>
      <w:r w:rsidRPr="009342ED">
        <w:rPr>
          <w:rFonts w:ascii="Times New Roman" w:hAnsi="Times New Roman" w:cs="Times New Roman"/>
          <w:sz w:val="24"/>
          <w:szCs w:val="24"/>
        </w:rPr>
        <w:t>70 que no representaba los intereses del país y por parte de Osvaldo Hurtado (1981-1984) del Partido Democracia Cristiana y León Febres Cordero del Partido Social Cristiano, quienes pusieron en marcha el proceso de “</w:t>
      </w:r>
      <w:proofErr w:type="spellStart"/>
      <w:r w:rsidRPr="009342ED">
        <w:rPr>
          <w:rFonts w:ascii="Times New Roman" w:hAnsi="Times New Roman" w:cs="Times New Roman"/>
          <w:sz w:val="24"/>
          <w:szCs w:val="24"/>
        </w:rPr>
        <w:t>sucretización</w:t>
      </w:r>
      <w:proofErr w:type="spellEnd"/>
      <w:r w:rsidRPr="009342ED">
        <w:rPr>
          <w:rFonts w:ascii="Times New Roman" w:hAnsi="Times New Roman" w:cs="Times New Roman"/>
          <w:sz w:val="24"/>
          <w:szCs w:val="24"/>
        </w:rPr>
        <w:t>” y continuaron pagando la deuda ilegítima de la dictadura (Comisión para la Auditoría Integral del Crédito Público</w:t>
      </w:r>
      <w:r>
        <w:rPr>
          <w:rFonts w:ascii="Times New Roman" w:hAnsi="Times New Roman" w:cs="Times New Roman"/>
          <w:sz w:val="24"/>
          <w:szCs w:val="24"/>
        </w:rPr>
        <w:t>,</w:t>
      </w:r>
      <w:r w:rsidRPr="009342ED">
        <w:rPr>
          <w:rFonts w:ascii="Times New Roman" w:hAnsi="Times New Roman" w:cs="Times New Roman"/>
          <w:sz w:val="24"/>
          <w:szCs w:val="24"/>
        </w:rPr>
        <w:t xml:space="preserve"> 2008).</w:t>
      </w:r>
      <w:r>
        <w:rPr>
          <w:rFonts w:ascii="Times New Roman" w:hAnsi="Times New Roman" w:cs="Times New Roman"/>
          <w:sz w:val="24"/>
          <w:szCs w:val="24"/>
        </w:rPr>
        <w:t xml:space="preserve"> </w:t>
      </w:r>
      <w:r w:rsidRPr="009342ED">
        <w:rPr>
          <w:rFonts w:ascii="Times New Roman" w:hAnsi="Times New Roman" w:cs="Times New Roman"/>
          <w:sz w:val="24"/>
          <w:szCs w:val="24"/>
        </w:rPr>
        <w:t>El proceso de “</w:t>
      </w:r>
      <w:proofErr w:type="spellStart"/>
      <w:r w:rsidRPr="009342ED">
        <w:rPr>
          <w:rFonts w:ascii="Times New Roman" w:hAnsi="Times New Roman" w:cs="Times New Roman"/>
          <w:sz w:val="24"/>
          <w:szCs w:val="24"/>
        </w:rPr>
        <w:t>sucretización</w:t>
      </w:r>
      <w:proofErr w:type="spellEnd"/>
      <w:r w:rsidRPr="009342ED">
        <w:rPr>
          <w:rFonts w:ascii="Times New Roman" w:hAnsi="Times New Roman" w:cs="Times New Roman"/>
          <w:sz w:val="24"/>
          <w:szCs w:val="24"/>
        </w:rPr>
        <w:t xml:space="preserve">” fue un proceso bajo el cual las deudas de actores privados fueron transferidas al Estado, para que </w:t>
      </w:r>
      <w:r w:rsidRPr="009342ED">
        <w:rPr>
          <w:rFonts w:ascii="Times New Roman" w:hAnsi="Times New Roman" w:cs="Times New Roman"/>
          <w:sz w:val="24"/>
          <w:szCs w:val="24"/>
        </w:rPr>
        <w:lastRenderedPageBreak/>
        <w:t xml:space="preserve">toda la sociedad termine pagando las deudas de unos pocos indebidamente favorecidos por el poder político. </w:t>
      </w:r>
    </w:p>
    <w:p w:rsidR="00F1299D" w:rsidRDefault="00F1299D" w:rsidP="00F1299D">
      <w:pPr>
        <w:spacing w:line="240" w:lineRule="auto"/>
        <w:jc w:val="both"/>
        <w:rPr>
          <w:rFonts w:ascii="Times New Roman" w:hAnsi="Times New Roman" w:cs="Times New Roman"/>
          <w:sz w:val="24"/>
          <w:szCs w:val="24"/>
        </w:rPr>
      </w:pPr>
    </w:p>
    <w:p w:rsidR="00F1299D" w:rsidRPr="009342ED" w:rsidRDefault="00F1299D" w:rsidP="00F1299D">
      <w:pPr>
        <w:spacing w:line="240" w:lineRule="auto"/>
        <w:jc w:val="both"/>
        <w:rPr>
          <w:rFonts w:ascii="Times New Roman" w:hAnsi="Times New Roman" w:cs="Times New Roman"/>
          <w:sz w:val="24"/>
          <w:szCs w:val="24"/>
        </w:rPr>
      </w:pPr>
      <w:r w:rsidRPr="009342ED">
        <w:rPr>
          <w:rFonts w:ascii="Times New Roman" w:hAnsi="Times New Roman" w:cs="Times New Roman"/>
          <w:sz w:val="24"/>
          <w:szCs w:val="24"/>
        </w:rPr>
        <w:t xml:space="preserve">El segundo mecanismo de </w:t>
      </w:r>
      <w:r>
        <w:rPr>
          <w:rFonts w:ascii="Times New Roman" w:hAnsi="Times New Roman" w:cs="Times New Roman"/>
          <w:sz w:val="24"/>
          <w:szCs w:val="24"/>
        </w:rPr>
        <w:t>“</w:t>
      </w:r>
      <w:r w:rsidRPr="009342ED">
        <w:rPr>
          <w:rFonts w:ascii="Times New Roman" w:hAnsi="Times New Roman" w:cs="Times New Roman"/>
          <w:sz w:val="24"/>
          <w:szCs w:val="24"/>
        </w:rPr>
        <w:t>redistribución hacia arriba</w:t>
      </w:r>
      <w:r>
        <w:rPr>
          <w:rFonts w:ascii="Times New Roman" w:hAnsi="Times New Roman" w:cs="Times New Roman"/>
          <w:sz w:val="24"/>
          <w:szCs w:val="24"/>
        </w:rPr>
        <w:t>”</w:t>
      </w:r>
      <w:r w:rsidRPr="009342ED">
        <w:rPr>
          <w:rFonts w:ascii="Times New Roman" w:hAnsi="Times New Roman" w:cs="Times New Roman"/>
          <w:sz w:val="24"/>
          <w:szCs w:val="24"/>
        </w:rPr>
        <w:t xml:space="preserve"> fue la liberalización de la banca durante los años 90, que incentivó que ésta realizara inversiones riesgosas con garantía pública. La Ley General de Instituciones del Sistema Financiero de 1994 abría la puerta a los flujos de capital nacional e internacional </w:t>
      </w:r>
      <w:r>
        <w:rPr>
          <w:rFonts w:ascii="Times New Roman" w:hAnsi="Times New Roman" w:cs="Times New Roman"/>
          <w:sz w:val="24"/>
          <w:szCs w:val="24"/>
        </w:rPr>
        <w:t>desregulados</w:t>
      </w:r>
      <w:r w:rsidRPr="009342ED">
        <w:rPr>
          <w:rFonts w:ascii="Times New Roman" w:hAnsi="Times New Roman" w:cs="Times New Roman"/>
          <w:sz w:val="24"/>
          <w:szCs w:val="24"/>
        </w:rPr>
        <w:t xml:space="preserve">, aumentando la vulnerabilidad del sistema. Con el abuso del poder facultado en el Referendo de </w:t>
      </w:r>
      <w:r w:rsidRPr="0077550F">
        <w:rPr>
          <w:rFonts w:ascii="Times New Roman" w:hAnsi="Times New Roman" w:cs="Times New Roman"/>
          <w:sz w:val="24"/>
          <w:szCs w:val="24"/>
        </w:rPr>
        <w:t xml:space="preserve">1997 para </w:t>
      </w:r>
      <w:r w:rsidRPr="00790B68">
        <w:rPr>
          <w:rFonts w:ascii="Times New Roman" w:hAnsi="Times New Roman" w:cs="Times New Roman"/>
          <w:i/>
          <w:sz w:val="24"/>
          <w:szCs w:val="24"/>
        </w:rPr>
        <w:t>reformar</w:t>
      </w:r>
      <w:r w:rsidRPr="0077550F">
        <w:rPr>
          <w:rFonts w:ascii="Times New Roman" w:hAnsi="Times New Roman" w:cs="Times New Roman"/>
          <w:sz w:val="24"/>
          <w:szCs w:val="24"/>
        </w:rPr>
        <w:t xml:space="preserve"> la Constitución de 1978, una Asamblea Nacional conformada por partidos</w:t>
      </w:r>
      <w:r w:rsidRPr="009342ED">
        <w:rPr>
          <w:rFonts w:ascii="Times New Roman" w:hAnsi="Times New Roman" w:cs="Times New Roman"/>
          <w:sz w:val="24"/>
          <w:szCs w:val="24"/>
        </w:rPr>
        <w:t xml:space="preserve"> con tan solo el 15% de la aprobación nacional (</w:t>
      </w:r>
      <w:proofErr w:type="spellStart"/>
      <w:r w:rsidRPr="009342ED">
        <w:rPr>
          <w:rFonts w:ascii="Times New Roman" w:hAnsi="Times New Roman" w:cs="Times New Roman"/>
          <w:sz w:val="24"/>
          <w:szCs w:val="24"/>
        </w:rPr>
        <w:t>Latinobarómetro</w:t>
      </w:r>
      <w:proofErr w:type="spellEnd"/>
      <w:r>
        <w:rPr>
          <w:rFonts w:ascii="Times New Roman" w:hAnsi="Times New Roman" w:cs="Times New Roman"/>
          <w:sz w:val="24"/>
          <w:szCs w:val="24"/>
        </w:rPr>
        <w:t>,</w:t>
      </w:r>
      <w:r w:rsidRPr="009342ED">
        <w:rPr>
          <w:rFonts w:ascii="Times New Roman" w:hAnsi="Times New Roman" w:cs="Times New Roman"/>
          <w:sz w:val="24"/>
          <w:szCs w:val="24"/>
        </w:rPr>
        <w:t xml:space="preserve"> 1997), impuso una nueva Constitución que proveía el mecanismo para la transferencia de los pasivos generados por los banqueros al Banco Central y con ello a la sociedad en general. Finalmente, el congelamiento de depósitos por un año mientras se dolarizaba la economía, transfirió gran parte de las pérdidas ocasionadas por los banqueros a los depositantes obligándolos a comprar los dólares a un precio más de 250% más alto del que era un año antes. La pobreza aumentó en 44% de acuerdo a las cifras de la Comisión Económica para América Latina y para evitar caer en la pobreza aproximadamente el 15% de la población emigró del país (</w:t>
      </w:r>
      <w:proofErr w:type="spellStart"/>
      <w:r w:rsidRPr="009342ED">
        <w:rPr>
          <w:rFonts w:ascii="Times New Roman" w:hAnsi="Times New Roman" w:cs="Times New Roman"/>
          <w:sz w:val="24"/>
          <w:szCs w:val="24"/>
        </w:rPr>
        <w:t>Jokisch</w:t>
      </w:r>
      <w:proofErr w:type="spellEnd"/>
      <w:r>
        <w:rPr>
          <w:rFonts w:ascii="Times New Roman" w:hAnsi="Times New Roman" w:cs="Times New Roman"/>
          <w:sz w:val="24"/>
          <w:szCs w:val="24"/>
        </w:rPr>
        <w:t>,</w:t>
      </w:r>
      <w:r w:rsidRPr="009342ED">
        <w:rPr>
          <w:rFonts w:ascii="Times New Roman" w:hAnsi="Times New Roman" w:cs="Times New Roman"/>
          <w:sz w:val="24"/>
          <w:szCs w:val="24"/>
        </w:rPr>
        <w:t xml:space="preserve"> 2014). Los migrantes fueron forzados a asumir la responsabilidad de los banqueros, saliendo del país a trabajar, enviando sus sueldos devuelta al Ecuador y sosteniendo la economía como segunda fuente de ingresos externos del Ecuador después del petróleo. Como consecuencia de esta “responsabilidad artificial” </w:t>
      </w:r>
      <w:r>
        <w:rPr>
          <w:rFonts w:ascii="Times New Roman" w:hAnsi="Times New Roman" w:cs="Times New Roman"/>
          <w:sz w:val="24"/>
          <w:szCs w:val="24"/>
        </w:rPr>
        <w:t xml:space="preserve">cargada por los migrantes </w:t>
      </w:r>
      <w:r w:rsidRPr="009342ED">
        <w:rPr>
          <w:rFonts w:ascii="Times New Roman" w:hAnsi="Times New Roman" w:cs="Times New Roman"/>
          <w:sz w:val="24"/>
          <w:szCs w:val="24"/>
        </w:rPr>
        <w:t xml:space="preserve">el Ecuador se sostuvo hasta el 2007 y las tasas de crecimiento, desigualdad y pobreza no fueron peores de lo que ya eran. </w:t>
      </w:r>
    </w:p>
    <w:p w:rsidR="00F1299D" w:rsidRPr="009342ED" w:rsidRDefault="00F1299D" w:rsidP="00F1299D">
      <w:pPr>
        <w:spacing w:line="240" w:lineRule="auto"/>
        <w:jc w:val="both"/>
        <w:rPr>
          <w:rFonts w:ascii="Times New Roman" w:hAnsi="Times New Roman" w:cs="Times New Roman"/>
          <w:sz w:val="24"/>
          <w:szCs w:val="24"/>
        </w:rPr>
      </w:pPr>
    </w:p>
    <w:p w:rsidR="00F1299D" w:rsidRDefault="00F1299D" w:rsidP="00F1299D">
      <w:pPr>
        <w:spacing w:line="240" w:lineRule="auto"/>
        <w:jc w:val="both"/>
        <w:rPr>
          <w:rFonts w:ascii="Times New Roman" w:hAnsi="Times New Roman" w:cs="Times New Roman"/>
          <w:sz w:val="24"/>
          <w:szCs w:val="24"/>
        </w:rPr>
      </w:pPr>
      <w:r w:rsidRPr="009342ED">
        <w:rPr>
          <w:rFonts w:ascii="Times New Roman" w:hAnsi="Times New Roman" w:cs="Times New Roman"/>
          <w:sz w:val="24"/>
          <w:szCs w:val="24"/>
        </w:rPr>
        <w:t>Una de las dos  promesas centrales de campaña de Rafael Correa en el 2006</w:t>
      </w:r>
      <w:r>
        <w:rPr>
          <w:rFonts w:ascii="Times New Roman" w:hAnsi="Times New Roman" w:cs="Times New Roman"/>
          <w:sz w:val="24"/>
          <w:szCs w:val="24"/>
        </w:rPr>
        <w:t>, como parte de la denominada Revolución Ciudadana,</w:t>
      </w:r>
      <w:r w:rsidRPr="009342ED">
        <w:rPr>
          <w:rFonts w:ascii="Times New Roman" w:hAnsi="Times New Roman" w:cs="Times New Roman"/>
          <w:sz w:val="24"/>
          <w:szCs w:val="24"/>
        </w:rPr>
        <w:t xml:space="preserve"> fue el “pago de la deuda social”. La otra fue el cambio de matriz productiva. La nomenclatura de “deuda” se refiere especialmente a la deuda que se le debe a la sociedad por haber sido forzada a asumir deudas ilegítimas de actores privados </w:t>
      </w:r>
      <w:r>
        <w:rPr>
          <w:rFonts w:ascii="Times New Roman" w:hAnsi="Times New Roman" w:cs="Times New Roman"/>
          <w:sz w:val="24"/>
          <w:szCs w:val="24"/>
        </w:rPr>
        <w:t xml:space="preserve">viabilizadas por el poder político </w:t>
      </w:r>
      <w:r w:rsidRPr="009342ED">
        <w:rPr>
          <w:rFonts w:ascii="Times New Roman" w:hAnsi="Times New Roman" w:cs="Times New Roman"/>
          <w:sz w:val="24"/>
          <w:szCs w:val="24"/>
        </w:rPr>
        <w:t xml:space="preserve">y a heredar los pasivos de algunos de los actores más ricos de la sociedad, mientras se suprimía cualquier posible surgimiento de un régimen de bienestar. Es por eso que la acción del gobierno se enfocó en revertir estos tres mecanismos del régimen neoliberal en Ecuador. Primero, creó la Comisión para la Auditoría Integral del Crédito Público, que bajo los conceptos de la jurisprudencia </w:t>
      </w:r>
      <w:r>
        <w:rPr>
          <w:rFonts w:ascii="Times New Roman" w:hAnsi="Times New Roman" w:cs="Times New Roman"/>
          <w:sz w:val="24"/>
          <w:szCs w:val="24"/>
        </w:rPr>
        <w:t xml:space="preserve">derivada de </w:t>
      </w:r>
      <w:proofErr w:type="spellStart"/>
      <w:r w:rsidRPr="00793BA9">
        <w:rPr>
          <w:rFonts w:ascii="Times New Roman" w:hAnsi="Times New Roman" w:cs="Times New Roman"/>
          <w:i/>
          <w:sz w:val="24"/>
          <w:szCs w:val="24"/>
        </w:rPr>
        <w:t>rebus</w:t>
      </w:r>
      <w:proofErr w:type="spellEnd"/>
      <w:r w:rsidRPr="00793BA9">
        <w:rPr>
          <w:rFonts w:ascii="Times New Roman" w:hAnsi="Times New Roman" w:cs="Times New Roman"/>
          <w:i/>
          <w:sz w:val="24"/>
          <w:szCs w:val="24"/>
        </w:rPr>
        <w:t xml:space="preserve"> sic </w:t>
      </w:r>
      <w:proofErr w:type="spellStart"/>
      <w:r w:rsidRPr="00793BA9">
        <w:rPr>
          <w:rFonts w:ascii="Times New Roman" w:hAnsi="Times New Roman" w:cs="Times New Roman"/>
          <w:i/>
          <w:sz w:val="24"/>
          <w:szCs w:val="24"/>
        </w:rPr>
        <w:t>stantibus</w:t>
      </w:r>
      <w:proofErr w:type="spellEnd"/>
      <w:r w:rsidRPr="009342ED">
        <w:rPr>
          <w:rFonts w:ascii="Times New Roman" w:hAnsi="Times New Roman" w:cs="Times New Roman"/>
          <w:sz w:val="24"/>
          <w:szCs w:val="24"/>
        </w:rPr>
        <w:t xml:space="preserve"> y de</w:t>
      </w:r>
      <w:r>
        <w:rPr>
          <w:rFonts w:ascii="Times New Roman" w:hAnsi="Times New Roman" w:cs="Times New Roman"/>
          <w:sz w:val="24"/>
          <w:szCs w:val="24"/>
        </w:rPr>
        <w:t xml:space="preserve"> la doctrina de</w:t>
      </w:r>
      <w:r w:rsidRPr="009342ED">
        <w:rPr>
          <w:rFonts w:ascii="Times New Roman" w:hAnsi="Times New Roman" w:cs="Times New Roman"/>
          <w:sz w:val="24"/>
          <w:szCs w:val="24"/>
        </w:rPr>
        <w:t xml:space="preserve"> deuda odiosa declaró una porción de la deuda pública como ilegal e ilegítima, se rehusó a pagarla con dinero público y </w:t>
      </w:r>
      <w:r>
        <w:rPr>
          <w:rFonts w:ascii="Times New Roman" w:hAnsi="Times New Roman" w:cs="Times New Roman"/>
          <w:sz w:val="24"/>
          <w:szCs w:val="24"/>
        </w:rPr>
        <w:t xml:space="preserve">en la operación </w:t>
      </w:r>
      <w:r w:rsidRPr="009342ED">
        <w:rPr>
          <w:rFonts w:ascii="Times New Roman" w:hAnsi="Times New Roman" w:cs="Times New Roman"/>
          <w:sz w:val="24"/>
          <w:szCs w:val="24"/>
        </w:rPr>
        <w:t>le ahorró aproximadamente $7000 millones de dólares al país (</w:t>
      </w:r>
      <w:proofErr w:type="spellStart"/>
      <w:r w:rsidRPr="009342ED">
        <w:rPr>
          <w:rFonts w:ascii="Times New Roman" w:hAnsi="Times New Roman" w:cs="Times New Roman"/>
          <w:sz w:val="24"/>
          <w:szCs w:val="24"/>
        </w:rPr>
        <w:t>Ghosh</w:t>
      </w:r>
      <w:proofErr w:type="spellEnd"/>
      <w:r>
        <w:rPr>
          <w:rFonts w:ascii="Times New Roman" w:hAnsi="Times New Roman" w:cs="Times New Roman"/>
          <w:sz w:val="24"/>
          <w:szCs w:val="24"/>
        </w:rPr>
        <w:t>,</w:t>
      </w:r>
      <w:r w:rsidRPr="009342ED">
        <w:rPr>
          <w:rFonts w:ascii="Times New Roman" w:hAnsi="Times New Roman" w:cs="Times New Roman"/>
          <w:sz w:val="24"/>
          <w:szCs w:val="24"/>
        </w:rPr>
        <w:t xml:space="preserve"> 2013). Segundo, penaliza a los banqueros responsables de la crisis del 99 y reformó el sistema financiero para que sus actores sean responsables no solo de sus ganancias sino de sus pérdidas, haciendo que las instituciones financieras se provean a</w:t>
      </w:r>
      <w:r>
        <w:rPr>
          <w:rFonts w:ascii="Times New Roman" w:hAnsi="Times New Roman" w:cs="Times New Roman"/>
          <w:sz w:val="24"/>
          <w:szCs w:val="24"/>
        </w:rPr>
        <w:t xml:space="preserve"> </w:t>
      </w:r>
      <w:r w:rsidRPr="009342ED">
        <w:rPr>
          <w:rFonts w:ascii="Times New Roman" w:hAnsi="Times New Roman" w:cs="Times New Roman"/>
          <w:sz w:val="24"/>
          <w:szCs w:val="24"/>
        </w:rPr>
        <w:t xml:space="preserve">sí mismas de liquidez cuando lo requieran y se aseguren a sí mismas en caso de </w:t>
      </w:r>
      <w:r>
        <w:rPr>
          <w:rFonts w:ascii="Times New Roman" w:hAnsi="Times New Roman" w:cs="Times New Roman"/>
          <w:sz w:val="24"/>
          <w:szCs w:val="24"/>
        </w:rPr>
        <w:t>que fallen (</w:t>
      </w:r>
      <w:proofErr w:type="spellStart"/>
      <w:r>
        <w:rPr>
          <w:rFonts w:ascii="Times New Roman" w:hAnsi="Times New Roman" w:cs="Times New Roman"/>
          <w:sz w:val="24"/>
          <w:szCs w:val="24"/>
        </w:rPr>
        <w:t>Weisbrot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Lefebvre</w:t>
      </w:r>
      <w:proofErr w:type="spellEnd"/>
      <w:r>
        <w:rPr>
          <w:rFonts w:ascii="Times New Roman" w:hAnsi="Times New Roman" w:cs="Times New Roman"/>
          <w:sz w:val="24"/>
          <w:szCs w:val="24"/>
        </w:rPr>
        <w:t xml:space="preserve"> &amp;</w:t>
      </w:r>
      <w:r w:rsidRPr="009342ED">
        <w:rPr>
          <w:rFonts w:ascii="Times New Roman" w:hAnsi="Times New Roman" w:cs="Times New Roman"/>
          <w:sz w:val="24"/>
          <w:szCs w:val="24"/>
        </w:rPr>
        <w:t xml:space="preserve"> Johnston</w:t>
      </w:r>
      <w:r>
        <w:rPr>
          <w:rFonts w:ascii="Times New Roman" w:hAnsi="Times New Roman" w:cs="Times New Roman"/>
          <w:sz w:val="24"/>
          <w:szCs w:val="24"/>
        </w:rPr>
        <w:t>,</w:t>
      </w:r>
      <w:r w:rsidRPr="009342ED">
        <w:rPr>
          <w:rFonts w:ascii="Times New Roman" w:hAnsi="Times New Roman" w:cs="Times New Roman"/>
          <w:sz w:val="24"/>
          <w:szCs w:val="24"/>
        </w:rPr>
        <w:t xml:space="preserve"> 2012). Estos fondos son manejados por la Corporación del Seguro de Depósitos, Fondo de Liquidez y Fondo de Seguros Privados, así reinsertando la responsabilidad en la libertad. </w:t>
      </w:r>
    </w:p>
    <w:p w:rsidR="00F1299D" w:rsidRDefault="00F1299D" w:rsidP="00F1299D">
      <w:pPr>
        <w:spacing w:line="240" w:lineRule="auto"/>
        <w:jc w:val="both"/>
        <w:rPr>
          <w:rFonts w:ascii="Times New Roman" w:hAnsi="Times New Roman" w:cs="Times New Roman"/>
          <w:sz w:val="24"/>
          <w:szCs w:val="24"/>
        </w:rPr>
      </w:pPr>
    </w:p>
    <w:p w:rsidR="00F1299D" w:rsidRPr="009342ED" w:rsidRDefault="00F1299D" w:rsidP="00F1299D">
      <w:pPr>
        <w:spacing w:line="240" w:lineRule="auto"/>
        <w:jc w:val="center"/>
        <w:rPr>
          <w:rFonts w:ascii="Times New Roman" w:hAnsi="Times New Roman" w:cs="Times New Roman"/>
          <w:sz w:val="24"/>
          <w:szCs w:val="24"/>
        </w:rPr>
      </w:pPr>
      <w:r w:rsidRPr="009342ED">
        <w:rPr>
          <w:rFonts w:ascii="Times New Roman" w:hAnsi="Times New Roman" w:cs="Times New Roman"/>
          <w:noProof/>
          <w:sz w:val="24"/>
          <w:szCs w:val="24"/>
          <w:lang w:eastAsia="es-EC"/>
        </w:rPr>
        <w:lastRenderedPageBreak/>
        <w:drawing>
          <wp:inline distT="0" distB="0" distL="0" distR="0">
            <wp:extent cx="4588510" cy="217297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8510" cy="2172970"/>
                    </a:xfrm>
                    <a:prstGeom prst="rect">
                      <a:avLst/>
                    </a:prstGeom>
                    <a:noFill/>
                    <a:ln>
                      <a:noFill/>
                    </a:ln>
                  </pic:spPr>
                </pic:pic>
              </a:graphicData>
            </a:graphic>
          </wp:inline>
        </w:drawing>
      </w:r>
    </w:p>
    <w:p w:rsidR="00F1299D" w:rsidRDefault="00F1299D" w:rsidP="00F1299D">
      <w:pPr>
        <w:spacing w:line="240" w:lineRule="auto"/>
        <w:ind w:right="540"/>
        <w:jc w:val="center"/>
        <w:rPr>
          <w:rFonts w:ascii="Times New Roman" w:hAnsi="Times New Roman" w:cs="Times New Roman"/>
          <w:sz w:val="24"/>
          <w:szCs w:val="24"/>
        </w:rPr>
      </w:pPr>
    </w:p>
    <w:p w:rsidR="00F1299D" w:rsidRPr="009342ED" w:rsidRDefault="00F1299D" w:rsidP="00F1299D">
      <w:pPr>
        <w:spacing w:line="240" w:lineRule="auto"/>
        <w:ind w:right="540"/>
        <w:jc w:val="center"/>
        <w:rPr>
          <w:rFonts w:ascii="Times New Roman" w:hAnsi="Times New Roman" w:cs="Times New Roman"/>
          <w:sz w:val="24"/>
          <w:szCs w:val="24"/>
        </w:rPr>
      </w:pPr>
      <w:r w:rsidRPr="009342ED">
        <w:rPr>
          <w:rFonts w:ascii="Times New Roman" w:hAnsi="Times New Roman" w:cs="Times New Roman"/>
          <w:sz w:val="24"/>
          <w:szCs w:val="24"/>
        </w:rPr>
        <w:t xml:space="preserve">Gráfico </w:t>
      </w:r>
      <w:r>
        <w:rPr>
          <w:rFonts w:ascii="Times New Roman" w:hAnsi="Times New Roman" w:cs="Times New Roman"/>
          <w:sz w:val="24"/>
          <w:szCs w:val="24"/>
        </w:rPr>
        <w:t>2</w:t>
      </w:r>
      <w:r w:rsidRPr="009342ED">
        <w:rPr>
          <w:rFonts w:ascii="Times New Roman" w:hAnsi="Times New Roman" w:cs="Times New Roman"/>
          <w:sz w:val="24"/>
          <w:szCs w:val="24"/>
        </w:rPr>
        <w:t>. Deuda pública externa como porcentaje del PIB constante, por persona, con datos del Banco Mundial (2006). Fuente: Banco Mundial (2016). Elaboración propia.</w:t>
      </w:r>
    </w:p>
    <w:p w:rsidR="00F1299D" w:rsidRDefault="00F1299D" w:rsidP="00F1299D">
      <w:pPr>
        <w:spacing w:line="240" w:lineRule="auto"/>
        <w:jc w:val="both"/>
        <w:rPr>
          <w:rFonts w:ascii="Times New Roman" w:hAnsi="Times New Roman" w:cs="Times New Roman"/>
          <w:sz w:val="24"/>
          <w:szCs w:val="24"/>
        </w:rPr>
      </w:pPr>
    </w:p>
    <w:p w:rsidR="00F1299D" w:rsidRDefault="00F1299D" w:rsidP="00F1299D">
      <w:pPr>
        <w:spacing w:line="240" w:lineRule="auto"/>
        <w:jc w:val="both"/>
        <w:rPr>
          <w:rFonts w:ascii="Times New Roman" w:hAnsi="Times New Roman" w:cs="Times New Roman"/>
          <w:sz w:val="24"/>
          <w:szCs w:val="24"/>
        </w:rPr>
      </w:pPr>
    </w:p>
    <w:p w:rsidR="00F1299D" w:rsidRPr="009342ED" w:rsidRDefault="00F1299D" w:rsidP="00F1299D">
      <w:pPr>
        <w:spacing w:line="240" w:lineRule="auto"/>
        <w:jc w:val="both"/>
        <w:rPr>
          <w:rFonts w:ascii="Times New Roman" w:hAnsi="Times New Roman" w:cs="Times New Roman"/>
          <w:sz w:val="24"/>
          <w:szCs w:val="24"/>
        </w:rPr>
      </w:pPr>
      <w:r w:rsidRPr="009342ED">
        <w:rPr>
          <w:rFonts w:ascii="Times New Roman" w:hAnsi="Times New Roman" w:cs="Times New Roman"/>
          <w:sz w:val="24"/>
          <w:szCs w:val="24"/>
        </w:rPr>
        <w:t xml:space="preserve">Por último, se reconstruye y fortalece el régimen de bienestar, constituido por políticas públicas que apuntan a garantizar los derechos sociales como salud, vivienda, seguridad social y educación, reduciendo la pobreza en 38% según cifras del Banco Mundial. En </w:t>
      </w:r>
      <w:r>
        <w:rPr>
          <w:rFonts w:ascii="Times New Roman" w:hAnsi="Times New Roman" w:cs="Times New Roman"/>
          <w:sz w:val="24"/>
          <w:szCs w:val="24"/>
        </w:rPr>
        <w:t xml:space="preserve">el gráfico anterior podemos </w:t>
      </w:r>
      <w:r w:rsidRPr="009342ED">
        <w:rPr>
          <w:rFonts w:ascii="Times New Roman" w:hAnsi="Times New Roman" w:cs="Times New Roman"/>
          <w:sz w:val="24"/>
          <w:szCs w:val="24"/>
        </w:rPr>
        <w:t>observar el comportamiento de la deuda externa pública ecuatoriana</w:t>
      </w:r>
      <w:r>
        <w:rPr>
          <w:rFonts w:ascii="Times New Roman" w:hAnsi="Times New Roman" w:cs="Times New Roman"/>
          <w:sz w:val="24"/>
          <w:szCs w:val="24"/>
        </w:rPr>
        <w:t>. En</w:t>
      </w:r>
      <w:r w:rsidRPr="009342ED">
        <w:rPr>
          <w:rFonts w:ascii="Times New Roman" w:hAnsi="Times New Roman" w:cs="Times New Roman"/>
          <w:sz w:val="24"/>
          <w:szCs w:val="24"/>
        </w:rPr>
        <w:t xml:space="preserve"> los siguientes gráficos podemos observar el crédito, incluyendo sobre todo </w:t>
      </w:r>
      <w:r>
        <w:rPr>
          <w:rFonts w:ascii="Times New Roman" w:hAnsi="Times New Roman" w:cs="Times New Roman"/>
          <w:sz w:val="24"/>
          <w:szCs w:val="24"/>
        </w:rPr>
        <w:t xml:space="preserve">para </w:t>
      </w:r>
      <w:r w:rsidRPr="009342ED">
        <w:rPr>
          <w:rFonts w:ascii="Times New Roman" w:hAnsi="Times New Roman" w:cs="Times New Roman"/>
          <w:sz w:val="24"/>
          <w:szCs w:val="24"/>
        </w:rPr>
        <w:t>vivienda, que impulsó la recuperación de la econom</w:t>
      </w:r>
      <w:r>
        <w:rPr>
          <w:rFonts w:ascii="Times New Roman" w:hAnsi="Times New Roman" w:cs="Times New Roman"/>
          <w:sz w:val="24"/>
          <w:szCs w:val="24"/>
        </w:rPr>
        <w:t>ía en el 2009 cuando se desplomaron</w:t>
      </w:r>
      <w:r w:rsidRPr="009342ED">
        <w:rPr>
          <w:rFonts w:ascii="Times New Roman" w:hAnsi="Times New Roman" w:cs="Times New Roman"/>
          <w:sz w:val="24"/>
          <w:szCs w:val="24"/>
        </w:rPr>
        <w:t xml:space="preserve"> el precio del petróleo y las remesas</w:t>
      </w:r>
      <w:r>
        <w:rPr>
          <w:rFonts w:ascii="Times New Roman" w:hAnsi="Times New Roman" w:cs="Times New Roman"/>
          <w:sz w:val="24"/>
          <w:szCs w:val="24"/>
        </w:rPr>
        <w:t>. P</w:t>
      </w:r>
      <w:r w:rsidRPr="009342ED">
        <w:rPr>
          <w:rFonts w:ascii="Times New Roman" w:hAnsi="Times New Roman" w:cs="Times New Roman"/>
          <w:sz w:val="24"/>
          <w:szCs w:val="24"/>
        </w:rPr>
        <w:t>or último podemos ver el gasto público social</w:t>
      </w:r>
      <w:r>
        <w:rPr>
          <w:rFonts w:ascii="Times New Roman" w:hAnsi="Times New Roman" w:cs="Times New Roman"/>
          <w:sz w:val="24"/>
          <w:szCs w:val="24"/>
        </w:rPr>
        <w:t>.</w:t>
      </w:r>
    </w:p>
    <w:p w:rsidR="00F1299D" w:rsidRPr="009342ED" w:rsidRDefault="00F1299D" w:rsidP="00F1299D">
      <w:pPr>
        <w:spacing w:line="240" w:lineRule="auto"/>
        <w:jc w:val="both"/>
        <w:rPr>
          <w:rFonts w:ascii="Times New Roman" w:hAnsi="Times New Roman" w:cs="Times New Roman"/>
          <w:sz w:val="24"/>
          <w:szCs w:val="24"/>
        </w:rPr>
      </w:pPr>
    </w:p>
    <w:p w:rsidR="00F1299D" w:rsidRPr="009342ED" w:rsidRDefault="00F1299D" w:rsidP="00F1299D">
      <w:pPr>
        <w:spacing w:line="240" w:lineRule="auto"/>
        <w:jc w:val="center"/>
        <w:rPr>
          <w:rFonts w:ascii="Times New Roman" w:hAnsi="Times New Roman" w:cs="Times New Roman"/>
          <w:sz w:val="24"/>
          <w:szCs w:val="24"/>
        </w:rPr>
      </w:pPr>
      <w:r w:rsidRPr="009342ED">
        <w:rPr>
          <w:rFonts w:ascii="Times New Roman" w:hAnsi="Times New Roman" w:cs="Times New Roman"/>
          <w:noProof/>
          <w:sz w:val="24"/>
          <w:szCs w:val="24"/>
          <w:lang w:eastAsia="es-EC"/>
        </w:rPr>
        <w:drawing>
          <wp:inline distT="0" distB="0" distL="0" distR="0">
            <wp:extent cx="4613275" cy="25749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3275" cy="2574925"/>
                    </a:xfrm>
                    <a:prstGeom prst="rect">
                      <a:avLst/>
                    </a:prstGeom>
                    <a:noFill/>
                    <a:ln>
                      <a:noFill/>
                    </a:ln>
                  </pic:spPr>
                </pic:pic>
              </a:graphicData>
            </a:graphic>
          </wp:inline>
        </w:drawing>
      </w:r>
    </w:p>
    <w:p w:rsidR="00F1299D" w:rsidRDefault="00F1299D" w:rsidP="00F1299D">
      <w:pPr>
        <w:spacing w:line="240" w:lineRule="auto"/>
        <w:ind w:right="810"/>
        <w:jc w:val="center"/>
        <w:rPr>
          <w:rFonts w:ascii="Times New Roman" w:hAnsi="Times New Roman" w:cs="Times New Roman"/>
          <w:sz w:val="24"/>
          <w:szCs w:val="24"/>
        </w:rPr>
      </w:pPr>
    </w:p>
    <w:p w:rsidR="00F1299D" w:rsidRPr="009342ED" w:rsidRDefault="00F1299D" w:rsidP="00F1299D">
      <w:pPr>
        <w:spacing w:line="240" w:lineRule="auto"/>
        <w:ind w:right="810"/>
        <w:jc w:val="center"/>
        <w:rPr>
          <w:rFonts w:ascii="Times New Roman" w:hAnsi="Times New Roman" w:cs="Times New Roman"/>
          <w:sz w:val="24"/>
          <w:szCs w:val="24"/>
        </w:rPr>
      </w:pPr>
      <w:r w:rsidRPr="009342ED">
        <w:rPr>
          <w:rFonts w:ascii="Times New Roman" w:hAnsi="Times New Roman" w:cs="Times New Roman"/>
          <w:sz w:val="24"/>
          <w:szCs w:val="24"/>
        </w:rPr>
        <w:t xml:space="preserve">Gráfico </w:t>
      </w:r>
      <w:r>
        <w:rPr>
          <w:rFonts w:ascii="Times New Roman" w:hAnsi="Times New Roman" w:cs="Times New Roman"/>
          <w:sz w:val="24"/>
          <w:szCs w:val="24"/>
        </w:rPr>
        <w:t>3</w:t>
      </w:r>
      <w:r w:rsidRPr="009342ED">
        <w:rPr>
          <w:rFonts w:ascii="Times New Roman" w:hAnsi="Times New Roman" w:cs="Times New Roman"/>
          <w:sz w:val="24"/>
          <w:szCs w:val="24"/>
        </w:rPr>
        <w:t xml:space="preserve">. Ecuador: Crédito anual para la vivienda por fuente, en millones de dólares. Fuente: Ministerio de Coordinación de la Política Económica (2011), </w:t>
      </w:r>
      <w:r w:rsidRPr="009342ED">
        <w:rPr>
          <w:rFonts w:ascii="Times New Roman" w:hAnsi="Times New Roman" w:cs="Times New Roman"/>
          <w:sz w:val="24"/>
          <w:szCs w:val="24"/>
        </w:rPr>
        <w:lastRenderedPageBreak/>
        <w:t>SBS (2011), cálculos del Centro para Investigaciones Económicas y Políticas.</w:t>
      </w:r>
      <w:r>
        <w:rPr>
          <w:rFonts w:ascii="Times New Roman" w:hAnsi="Times New Roman" w:cs="Times New Roman"/>
          <w:sz w:val="24"/>
          <w:szCs w:val="24"/>
        </w:rPr>
        <w:t xml:space="preserve"> Elaborado por </w:t>
      </w:r>
      <w:proofErr w:type="spellStart"/>
      <w:r>
        <w:rPr>
          <w:rFonts w:ascii="Times New Roman" w:hAnsi="Times New Roman" w:cs="Times New Roman"/>
          <w:sz w:val="24"/>
          <w:szCs w:val="24"/>
        </w:rPr>
        <w:t>Ray</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Kozameh</w:t>
      </w:r>
      <w:proofErr w:type="spellEnd"/>
      <w:r>
        <w:rPr>
          <w:rFonts w:ascii="Times New Roman" w:hAnsi="Times New Roman" w:cs="Times New Roman"/>
          <w:sz w:val="24"/>
          <w:szCs w:val="24"/>
        </w:rPr>
        <w:t xml:space="preserve"> (2012).</w:t>
      </w:r>
    </w:p>
    <w:p w:rsidR="00F1299D" w:rsidRPr="009342ED" w:rsidRDefault="00F1299D" w:rsidP="00F1299D">
      <w:pPr>
        <w:spacing w:line="240" w:lineRule="auto"/>
        <w:jc w:val="both"/>
        <w:rPr>
          <w:rFonts w:ascii="Times New Roman" w:hAnsi="Times New Roman" w:cs="Times New Roman"/>
          <w:sz w:val="24"/>
          <w:szCs w:val="24"/>
        </w:rPr>
      </w:pPr>
    </w:p>
    <w:p w:rsidR="00F1299D" w:rsidRDefault="00F1299D" w:rsidP="00F1299D">
      <w:pPr>
        <w:spacing w:line="240" w:lineRule="auto"/>
        <w:jc w:val="center"/>
        <w:rPr>
          <w:rFonts w:ascii="Times New Roman" w:hAnsi="Times New Roman" w:cs="Times New Roman"/>
          <w:noProof/>
          <w:sz w:val="24"/>
          <w:szCs w:val="24"/>
          <w:lang w:val="en-GB" w:eastAsia="en-GB"/>
        </w:rPr>
      </w:pPr>
      <w:r w:rsidRPr="009342ED">
        <w:rPr>
          <w:rFonts w:ascii="Times New Roman" w:hAnsi="Times New Roman" w:cs="Times New Roman"/>
          <w:noProof/>
          <w:sz w:val="24"/>
          <w:szCs w:val="24"/>
          <w:lang w:eastAsia="es-EC"/>
        </w:rPr>
        <w:drawing>
          <wp:inline distT="0" distB="0" distL="0" distR="0">
            <wp:extent cx="4613275" cy="241490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3275" cy="2414905"/>
                    </a:xfrm>
                    <a:prstGeom prst="rect">
                      <a:avLst/>
                    </a:prstGeom>
                    <a:noFill/>
                    <a:ln>
                      <a:noFill/>
                    </a:ln>
                  </pic:spPr>
                </pic:pic>
              </a:graphicData>
            </a:graphic>
          </wp:inline>
        </w:drawing>
      </w:r>
    </w:p>
    <w:p w:rsidR="00F1299D" w:rsidRPr="009342ED" w:rsidRDefault="00F1299D" w:rsidP="00F1299D">
      <w:pPr>
        <w:spacing w:line="240" w:lineRule="auto"/>
        <w:jc w:val="center"/>
        <w:rPr>
          <w:rFonts w:ascii="Times New Roman" w:hAnsi="Times New Roman" w:cs="Times New Roman"/>
          <w:sz w:val="24"/>
          <w:szCs w:val="24"/>
        </w:rPr>
      </w:pPr>
    </w:p>
    <w:p w:rsidR="00F1299D" w:rsidRPr="009342ED" w:rsidRDefault="00F1299D" w:rsidP="00F1299D">
      <w:pPr>
        <w:spacing w:line="240" w:lineRule="auto"/>
        <w:ind w:right="810"/>
        <w:jc w:val="center"/>
        <w:rPr>
          <w:rFonts w:ascii="Times New Roman" w:hAnsi="Times New Roman" w:cs="Times New Roman"/>
          <w:sz w:val="24"/>
          <w:szCs w:val="24"/>
        </w:rPr>
      </w:pPr>
      <w:r w:rsidRPr="009342ED">
        <w:rPr>
          <w:rFonts w:ascii="Times New Roman" w:hAnsi="Times New Roman" w:cs="Times New Roman"/>
          <w:sz w:val="24"/>
          <w:szCs w:val="24"/>
        </w:rPr>
        <w:t xml:space="preserve">Gráfico </w:t>
      </w:r>
      <w:r>
        <w:rPr>
          <w:rFonts w:ascii="Times New Roman" w:hAnsi="Times New Roman" w:cs="Times New Roman"/>
          <w:sz w:val="24"/>
          <w:szCs w:val="24"/>
        </w:rPr>
        <w:t>4</w:t>
      </w:r>
      <w:r w:rsidRPr="009342ED">
        <w:rPr>
          <w:rFonts w:ascii="Times New Roman" w:hAnsi="Times New Roman" w:cs="Times New Roman"/>
          <w:sz w:val="24"/>
          <w:szCs w:val="24"/>
        </w:rPr>
        <w:t>. Gasto Social. Ecuador: gasto público y social (gobierno central), como porcentaje del PIB. Fuente: Ministerio de Finanzas del Ecuador (Sin Fecha – b). Cálculos del Centro para Investigaciones Económicas y Políticas.</w:t>
      </w:r>
      <w:r>
        <w:rPr>
          <w:rFonts w:ascii="Times New Roman" w:hAnsi="Times New Roman" w:cs="Times New Roman"/>
          <w:sz w:val="24"/>
          <w:szCs w:val="24"/>
        </w:rPr>
        <w:t xml:space="preserve"> Elaborado por </w:t>
      </w:r>
      <w:proofErr w:type="spellStart"/>
      <w:r>
        <w:rPr>
          <w:rFonts w:ascii="Times New Roman" w:hAnsi="Times New Roman" w:cs="Times New Roman"/>
          <w:sz w:val="24"/>
          <w:szCs w:val="24"/>
        </w:rPr>
        <w:t>Ray</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Kozameh</w:t>
      </w:r>
      <w:proofErr w:type="spellEnd"/>
      <w:r>
        <w:rPr>
          <w:rFonts w:ascii="Times New Roman" w:hAnsi="Times New Roman" w:cs="Times New Roman"/>
          <w:sz w:val="24"/>
          <w:szCs w:val="24"/>
        </w:rPr>
        <w:t xml:space="preserve"> (2012).</w:t>
      </w:r>
    </w:p>
    <w:p w:rsidR="00F1299D" w:rsidRPr="009342ED" w:rsidRDefault="00F1299D" w:rsidP="00F1299D">
      <w:pPr>
        <w:spacing w:line="240" w:lineRule="auto"/>
        <w:jc w:val="center"/>
        <w:rPr>
          <w:rFonts w:ascii="Times New Roman" w:hAnsi="Times New Roman" w:cs="Times New Roman"/>
          <w:sz w:val="24"/>
          <w:szCs w:val="24"/>
        </w:rPr>
      </w:pPr>
    </w:p>
    <w:p w:rsidR="00F1299D" w:rsidRPr="009342ED" w:rsidRDefault="00F1299D" w:rsidP="00F1299D">
      <w:pPr>
        <w:spacing w:line="240" w:lineRule="auto"/>
        <w:jc w:val="both"/>
        <w:rPr>
          <w:rFonts w:ascii="Times New Roman" w:hAnsi="Times New Roman" w:cs="Times New Roman"/>
          <w:sz w:val="24"/>
          <w:szCs w:val="24"/>
        </w:rPr>
      </w:pPr>
    </w:p>
    <w:p w:rsidR="00F1299D" w:rsidRDefault="00F1299D" w:rsidP="00F1299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Al mismo tiempo que estas inversiones construyen un régimen de bienestar garantista de los derechos sociales, </w:t>
      </w:r>
      <w:r w:rsidRPr="009342ED">
        <w:rPr>
          <w:rFonts w:ascii="Times New Roman" w:hAnsi="Times New Roman" w:cs="Times New Roman"/>
          <w:sz w:val="24"/>
          <w:szCs w:val="24"/>
        </w:rPr>
        <w:t>han permitido que Ecuador salga rápido de la recesión ocasionada por la crisis mundial del 2008 y que sus sectores más desarrollados crezcan más del doble que los sectores primarios en términos proporciona</w:t>
      </w:r>
      <w:r>
        <w:rPr>
          <w:rFonts w:ascii="Times New Roman" w:hAnsi="Times New Roman" w:cs="Times New Roman"/>
          <w:sz w:val="24"/>
          <w:szCs w:val="24"/>
        </w:rPr>
        <w:t>les.</w:t>
      </w:r>
    </w:p>
    <w:p w:rsidR="00F1299D" w:rsidRDefault="00F1299D" w:rsidP="00F1299D">
      <w:pPr>
        <w:spacing w:line="240" w:lineRule="auto"/>
        <w:jc w:val="both"/>
        <w:rPr>
          <w:rFonts w:ascii="Times New Roman" w:hAnsi="Times New Roman" w:cs="Times New Roman"/>
          <w:sz w:val="24"/>
          <w:szCs w:val="24"/>
        </w:rPr>
      </w:pPr>
    </w:p>
    <w:p w:rsidR="00F1299D" w:rsidRPr="009342ED" w:rsidRDefault="00F1299D" w:rsidP="00F1299D">
      <w:pPr>
        <w:spacing w:line="240" w:lineRule="auto"/>
        <w:jc w:val="both"/>
        <w:rPr>
          <w:rFonts w:ascii="Times New Roman" w:hAnsi="Times New Roman" w:cs="Times New Roman"/>
          <w:sz w:val="24"/>
          <w:szCs w:val="24"/>
        </w:rPr>
      </w:pPr>
    </w:p>
    <w:p w:rsidR="00F1299D" w:rsidRPr="009342ED" w:rsidRDefault="00F1299D" w:rsidP="00F1299D">
      <w:pPr>
        <w:spacing w:line="240" w:lineRule="auto"/>
        <w:jc w:val="center"/>
        <w:rPr>
          <w:rFonts w:ascii="Times New Roman" w:hAnsi="Times New Roman" w:cs="Times New Roman"/>
          <w:sz w:val="24"/>
          <w:szCs w:val="24"/>
        </w:rPr>
      </w:pPr>
      <w:r w:rsidRPr="009342ED">
        <w:rPr>
          <w:rFonts w:ascii="Times New Roman" w:hAnsi="Times New Roman" w:cs="Times New Roman"/>
          <w:noProof/>
          <w:sz w:val="24"/>
          <w:szCs w:val="24"/>
          <w:lang w:eastAsia="es-EC"/>
        </w:rPr>
        <w:drawing>
          <wp:inline distT="0" distB="0" distL="0" distR="0">
            <wp:extent cx="4620895" cy="2472690"/>
            <wp:effectExtent l="0" t="0" r="825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0895" cy="2472690"/>
                    </a:xfrm>
                    <a:prstGeom prst="rect">
                      <a:avLst/>
                    </a:prstGeom>
                    <a:noFill/>
                    <a:ln>
                      <a:noFill/>
                    </a:ln>
                  </pic:spPr>
                </pic:pic>
              </a:graphicData>
            </a:graphic>
          </wp:inline>
        </w:drawing>
      </w:r>
    </w:p>
    <w:p w:rsidR="00F1299D" w:rsidRDefault="00F1299D" w:rsidP="00F1299D">
      <w:pPr>
        <w:spacing w:line="240" w:lineRule="auto"/>
        <w:ind w:right="900"/>
        <w:jc w:val="center"/>
        <w:rPr>
          <w:rFonts w:ascii="Times New Roman" w:hAnsi="Times New Roman" w:cs="Times New Roman"/>
          <w:sz w:val="24"/>
          <w:szCs w:val="24"/>
        </w:rPr>
      </w:pPr>
    </w:p>
    <w:p w:rsidR="00F1299D" w:rsidRDefault="00F1299D" w:rsidP="00F1299D">
      <w:pPr>
        <w:spacing w:line="240" w:lineRule="auto"/>
        <w:ind w:right="900"/>
        <w:jc w:val="center"/>
        <w:rPr>
          <w:rFonts w:ascii="Times New Roman" w:hAnsi="Times New Roman" w:cs="Times New Roman"/>
          <w:sz w:val="24"/>
          <w:szCs w:val="24"/>
        </w:rPr>
      </w:pPr>
      <w:r w:rsidRPr="009342ED">
        <w:rPr>
          <w:rFonts w:ascii="Times New Roman" w:hAnsi="Times New Roman" w:cs="Times New Roman"/>
          <w:sz w:val="24"/>
          <w:szCs w:val="24"/>
        </w:rPr>
        <w:t>Gráfico</w:t>
      </w:r>
      <w:r>
        <w:rPr>
          <w:rFonts w:ascii="Times New Roman" w:hAnsi="Times New Roman" w:cs="Times New Roman"/>
          <w:sz w:val="24"/>
          <w:szCs w:val="24"/>
        </w:rPr>
        <w:t xml:space="preserve"> 5. Estructura de p</w:t>
      </w:r>
      <w:r w:rsidRPr="009342ED">
        <w:rPr>
          <w:rFonts w:ascii="Times New Roman" w:hAnsi="Times New Roman" w:cs="Times New Roman"/>
          <w:sz w:val="24"/>
          <w:szCs w:val="24"/>
        </w:rPr>
        <w:t>roducción del Ecuador.</w:t>
      </w:r>
      <w:r>
        <w:rPr>
          <w:rFonts w:ascii="Times New Roman" w:hAnsi="Times New Roman" w:cs="Times New Roman"/>
          <w:sz w:val="24"/>
          <w:szCs w:val="24"/>
        </w:rPr>
        <w:t xml:space="preserve"> </w:t>
      </w:r>
      <w:r w:rsidRPr="009342ED">
        <w:rPr>
          <w:rFonts w:ascii="Times New Roman" w:hAnsi="Times New Roman" w:cs="Times New Roman"/>
          <w:sz w:val="24"/>
          <w:szCs w:val="24"/>
        </w:rPr>
        <w:t>Elaborado por Restrepo (2015</w:t>
      </w:r>
      <w:r>
        <w:rPr>
          <w:rFonts w:ascii="Times New Roman" w:hAnsi="Times New Roman" w:cs="Times New Roman"/>
          <w:sz w:val="24"/>
          <w:szCs w:val="24"/>
        </w:rPr>
        <w:t>b</w:t>
      </w:r>
      <w:r w:rsidRPr="009342ED">
        <w:rPr>
          <w:rFonts w:ascii="Times New Roman" w:hAnsi="Times New Roman" w:cs="Times New Roman"/>
          <w:sz w:val="24"/>
          <w:szCs w:val="24"/>
        </w:rPr>
        <w:t>) con datos de Información Estadística Mensual 1957 del Banco Central. Para no contar sectores cuestionablemente productivos, no se incluye en Servicios e Industria, a la Administración Pública, Militares, Servicios Financieros ni Comercio.</w:t>
      </w:r>
    </w:p>
    <w:p w:rsidR="00F1299D" w:rsidRDefault="00F1299D" w:rsidP="00F1299D">
      <w:pPr>
        <w:spacing w:line="240" w:lineRule="auto"/>
        <w:ind w:right="900"/>
        <w:rPr>
          <w:rFonts w:ascii="Times New Roman" w:hAnsi="Times New Roman" w:cs="Times New Roman"/>
          <w:sz w:val="24"/>
          <w:szCs w:val="24"/>
        </w:rPr>
      </w:pPr>
    </w:p>
    <w:p w:rsidR="00F1299D" w:rsidRPr="009342ED" w:rsidRDefault="00F1299D" w:rsidP="00F1299D">
      <w:pPr>
        <w:spacing w:line="240" w:lineRule="auto"/>
        <w:jc w:val="both"/>
        <w:rPr>
          <w:rFonts w:ascii="Times New Roman" w:hAnsi="Times New Roman" w:cs="Times New Roman"/>
          <w:sz w:val="24"/>
          <w:szCs w:val="24"/>
        </w:rPr>
      </w:pPr>
      <w:r w:rsidRPr="009342ED">
        <w:rPr>
          <w:rFonts w:ascii="Times New Roman" w:hAnsi="Times New Roman" w:cs="Times New Roman"/>
          <w:sz w:val="24"/>
          <w:szCs w:val="24"/>
        </w:rPr>
        <w:t xml:space="preserve">La educación tiene especial importancia tanto para la construcción de un régimen de bienestar que apunta a </w:t>
      </w:r>
      <w:r>
        <w:rPr>
          <w:rFonts w:ascii="Times New Roman" w:hAnsi="Times New Roman" w:cs="Times New Roman"/>
          <w:sz w:val="24"/>
          <w:szCs w:val="24"/>
        </w:rPr>
        <w:t xml:space="preserve">garantizar los derechos sociales y </w:t>
      </w:r>
      <w:r w:rsidRPr="009342ED">
        <w:rPr>
          <w:rFonts w:ascii="Times New Roman" w:hAnsi="Times New Roman" w:cs="Times New Roman"/>
          <w:sz w:val="24"/>
          <w:szCs w:val="24"/>
        </w:rPr>
        <w:t xml:space="preserve">pagar la deuda social, como para el fortalecimiento de las capacidades ciudadanas esenciales y el cambio de matriz productiva, hacia una economía justa, sin altos índices de concentración, verde, </w:t>
      </w:r>
      <w:r>
        <w:rPr>
          <w:rFonts w:ascii="Times New Roman" w:hAnsi="Times New Roman" w:cs="Times New Roman"/>
          <w:sz w:val="24"/>
          <w:szCs w:val="24"/>
        </w:rPr>
        <w:t xml:space="preserve">renovable, </w:t>
      </w:r>
      <w:r w:rsidRPr="009342ED">
        <w:rPr>
          <w:rFonts w:ascii="Times New Roman" w:hAnsi="Times New Roman" w:cs="Times New Roman"/>
          <w:sz w:val="24"/>
          <w:szCs w:val="24"/>
        </w:rPr>
        <w:t>más calificada  y no dependiente de los recursos naturales no renovables, objetivos que se enfatizan en la Constitución de la República, las leyes y los Planes Nacionales de Desarrollo para el Buen Vivir. En términos de la deuda social educativa, se constituye, en palabras de Luna, de la siguiente manera:</w:t>
      </w:r>
    </w:p>
    <w:p w:rsidR="00F1299D" w:rsidRPr="009342ED" w:rsidRDefault="00F1299D" w:rsidP="00F1299D">
      <w:pPr>
        <w:spacing w:line="240" w:lineRule="auto"/>
        <w:jc w:val="both"/>
        <w:rPr>
          <w:rFonts w:ascii="Times New Roman" w:hAnsi="Times New Roman" w:cs="Times New Roman"/>
          <w:sz w:val="24"/>
          <w:szCs w:val="24"/>
        </w:rPr>
      </w:pPr>
    </w:p>
    <w:p w:rsidR="00F1299D" w:rsidRPr="009342ED" w:rsidRDefault="00F1299D" w:rsidP="00F1299D">
      <w:pPr>
        <w:spacing w:line="240" w:lineRule="auto"/>
        <w:ind w:left="720" w:right="990"/>
        <w:jc w:val="both"/>
        <w:rPr>
          <w:rFonts w:ascii="Times New Roman" w:hAnsi="Times New Roman" w:cs="Times New Roman"/>
          <w:sz w:val="24"/>
          <w:szCs w:val="24"/>
        </w:rPr>
      </w:pPr>
      <w:r w:rsidRPr="009342ED">
        <w:rPr>
          <w:rFonts w:ascii="Times New Roman" w:hAnsi="Times New Roman" w:cs="Times New Roman"/>
          <w:sz w:val="24"/>
          <w:szCs w:val="24"/>
        </w:rPr>
        <w:t>Entre 1980 y el 2007 la educación, pero en particular la educación pública sufrió un proceso de estancamiento y retroceso en medio de iniciativas de reformas que finalmente fracasaron. La crisis económica y la inestabilidad política inviabilizaron propósitos de mejoramiento educativo que no encarnaron en actores sociales, políticos o productivos fuertes. La política pública y en particular la educativa experimentaron inconsistencia y debilidad impactando en una gestión inestable y desestructurada. Los agentes educativos se enfrentaron permanentemente por la carencia de recursos económicos y acuerdos (Luna</w:t>
      </w:r>
      <w:r>
        <w:rPr>
          <w:rFonts w:ascii="Times New Roman" w:hAnsi="Times New Roman" w:cs="Times New Roman"/>
          <w:sz w:val="24"/>
          <w:szCs w:val="24"/>
        </w:rPr>
        <w:t>,</w:t>
      </w:r>
      <w:r w:rsidRPr="009342ED">
        <w:rPr>
          <w:rFonts w:ascii="Times New Roman" w:hAnsi="Times New Roman" w:cs="Times New Roman"/>
          <w:sz w:val="24"/>
          <w:szCs w:val="24"/>
        </w:rPr>
        <w:t xml:space="preserve"> 2014: 1).</w:t>
      </w:r>
    </w:p>
    <w:p w:rsidR="00BF442D" w:rsidRDefault="00BF442D" w:rsidP="00F1299D">
      <w:bookmarkStart w:id="0" w:name="_GoBack"/>
      <w:bookmarkEnd w:id="0"/>
    </w:p>
    <w:sectPr w:rsidR="00BF442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982BD9"/>
    <w:multiLevelType w:val="hybridMultilevel"/>
    <w:tmpl w:val="BBDA2D4A"/>
    <w:lvl w:ilvl="0" w:tplc="FC0CE706">
      <w:start w:val="1"/>
      <w:numFmt w:val="decimal"/>
      <w:lvlText w:val="%1."/>
      <w:lvlJc w:val="left"/>
      <w:pPr>
        <w:ind w:left="720" w:hanging="360"/>
      </w:pPr>
      <w:rPr>
        <w:rFonts w:hint="default"/>
        <w:sz w:val="32"/>
        <w:szCs w:val="3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2D"/>
    <w:rsid w:val="00B33AD2"/>
    <w:rsid w:val="00BF442D"/>
    <w:rsid w:val="00CB4C74"/>
    <w:rsid w:val="00F1299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A3CC9B-54DD-47FD-B06A-E5B2979F7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1331</Words>
  <Characters>7322</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 WARS</dc:creator>
  <cp:keywords/>
  <dc:description/>
  <cp:lastModifiedBy>STAR WARS</cp:lastModifiedBy>
  <cp:revision>3</cp:revision>
  <dcterms:created xsi:type="dcterms:W3CDTF">2017-12-30T03:04:00Z</dcterms:created>
  <dcterms:modified xsi:type="dcterms:W3CDTF">2017-12-30T03:32:00Z</dcterms:modified>
</cp:coreProperties>
</file>