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935036" w:rsidRDefault="00935036"/>
    <w:p w:rsidR="00935036" w:rsidRDefault="00935036"/>
    <w:p w:rsidR="00BF442D" w:rsidRDefault="00BF442D"/>
    <w:p w:rsidR="00BF442D" w:rsidRDefault="00BF442D"/>
    <w:p w:rsidR="00BF442D" w:rsidRDefault="00BF442D"/>
    <w:p w:rsidR="00BF442D" w:rsidRDefault="00BF442D"/>
    <w:p w:rsidR="00BF442D" w:rsidRDefault="00BF442D"/>
    <w:p w:rsidR="00BF442D" w:rsidRDefault="00BF442D">
      <w:r>
        <w:t>Ponencia presentada para en la Conferencia sobre el Atlas del derecho a la educación en los años de la Revolución Ciudadana, Ibarra, 15 de Marzo, 2017</w:t>
      </w:r>
    </w:p>
    <w:p w:rsidR="00935036" w:rsidRPr="00BE661B" w:rsidRDefault="00935036" w:rsidP="00935036">
      <w:pPr>
        <w:numPr>
          <w:ilvl w:val="0"/>
          <w:numId w:val="1"/>
        </w:numPr>
        <w:spacing w:after="0" w:line="240" w:lineRule="auto"/>
        <w:jc w:val="both"/>
        <w:rPr>
          <w:rFonts w:ascii="Times New Roman" w:hAnsi="Times New Roman" w:cs="Times New Roman"/>
          <w:b/>
          <w:sz w:val="32"/>
          <w:szCs w:val="32"/>
          <w:lang w:val="es-ES"/>
        </w:rPr>
      </w:pPr>
      <w:r>
        <w:rPr>
          <w:rFonts w:ascii="Times New Roman" w:hAnsi="Times New Roman" w:cs="Times New Roman"/>
          <w:b/>
          <w:sz w:val="32"/>
          <w:szCs w:val="32"/>
        </w:rPr>
        <w:t>La educación</w:t>
      </w:r>
      <w:r>
        <w:rPr>
          <w:rFonts w:ascii="Times New Roman" w:hAnsi="Times New Roman" w:cs="Times New Roman"/>
          <w:b/>
          <w:sz w:val="32"/>
          <w:szCs w:val="32"/>
          <w:lang w:val="es-ES"/>
        </w:rPr>
        <w:t xml:space="preserve"> como derecho humano y política pública</w:t>
      </w:r>
    </w:p>
    <w:p w:rsidR="00935036" w:rsidRDefault="00935036" w:rsidP="00935036">
      <w:pPr>
        <w:spacing w:line="240" w:lineRule="auto"/>
        <w:jc w:val="both"/>
        <w:rPr>
          <w:rFonts w:ascii="Times New Roman" w:hAnsi="Times New Roman" w:cs="Times New Roman"/>
          <w:sz w:val="24"/>
          <w:szCs w:val="24"/>
        </w:rPr>
      </w:pPr>
    </w:p>
    <w:p w:rsidR="00935036" w:rsidRPr="009342ED" w:rsidRDefault="00935036" w:rsidP="00935036">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El Ecuador se ha planteado a sí mismo el ideal de constituirse en una sociedad, Estado y economía de derechos y justicia: en síntesis, pretende ser una democracia del Buen Vivir.  Lo ha hecho en varios foros, su Constitución y otras leyes, políticas y discursos, con alta participación ciudadana, que ya son partes de la conciencia nacional e internacional, en espacios comunes, políticos y académicos. Fundamentalmente, el marco del Buen Vivir integra la centralidad de los derechos humanos y los derechos del resto de la naturaleza para las formas de organización humana. Las referencias centrales para la identificación de los derechos humanos son la Declaración Universal de Derechos Humanos, el Pacto Internacional de Derechos Civiles y Políticos y el Pacto Internacional de Derechos Económicos, Sociales y Culturales. El derecho a la educación tiene especial énfasis en el primero y último de estos tratados internacionales de derechos humanos, con el fin de fortalecer el desarrollo pleno de la personalidad, el respeto por las libertades y derechos humanos propios y de otros, la interculturalidad, la paz y las capacidades para la efectiva participación en una sociedad libre (Art. 26 de la Declaración Universal de Derechos Humanos y Art. 13 del Pacto Internacional de Derechos Económicos, Sociales y Culturales). Sin buena educación no hay derechos, no hay una libertad informada y sin dominación, no hay participación verdaderamente ciudadana en la construcción de las decisiones colectivas y no hay una sociedad libre, con su propia organización política y económica. Sin buena educación no hay buenas decisiones sobre producción, consumo y participación política. La educación es la base de la democracia auténtica</w:t>
      </w:r>
      <w:r>
        <w:rPr>
          <w:rFonts w:ascii="Times New Roman" w:hAnsi="Times New Roman" w:cs="Times New Roman"/>
          <w:sz w:val="24"/>
          <w:szCs w:val="24"/>
        </w:rPr>
        <w:t>, la democracia del Buen Vivir.</w:t>
      </w:r>
    </w:p>
    <w:p w:rsidR="00935036" w:rsidRDefault="00935036" w:rsidP="00935036">
      <w:pPr>
        <w:spacing w:line="240" w:lineRule="auto"/>
        <w:jc w:val="both"/>
        <w:rPr>
          <w:rFonts w:ascii="Times New Roman" w:hAnsi="Times New Roman" w:cs="Times New Roman"/>
          <w:sz w:val="24"/>
          <w:szCs w:val="24"/>
        </w:rPr>
      </w:pPr>
    </w:p>
    <w:p w:rsidR="00935036" w:rsidRDefault="00935036" w:rsidP="00935036">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Los derechos y la justicia son vacíos si no tienen fuerza; y la fuerza es dominación si no tiene como objetivo la garantía de los derechos y la justicia. Tanto el derecho al voto como el derecho a la educación requieren de políticas públicas bien diseñadas, con recursos y bien implementadas para que sean garantizados. No existe tal cosa como derechos de pura abstención del Estado, o libertad negativa, como a veces se han descrito los derechos políticos. La cuestión siempre es qué tipo de acción colectiva se debe tomar</w:t>
      </w:r>
      <w:r>
        <w:rPr>
          <w:rFonts w:ascii="Times New Roman" w:hAnsi="Times New Roman" w:cs="Times New Roman"/>
          <w:sz w:val="24"/>
          <w:szCs w:val="24"/>
        </w:rPr>
        <w:t xml:space="preserve"> (</w:t>
      </w:r>
      <w:proofErr w:type="spellStart"/>
      <w:r>
        <w:rPr>
          <w:rFonts w:ascii="Times New Roman" w:hAnsi="Times New Roman" w:cs="Times New Roman"/>
          <w:sz w:val="24"/>
          <w:szCs w:val="24"/>
        </w:rPr>
        <w:t>Sunstein</w:t>
      </w:r>
      <w:proofErr w:type="spellEnd"/>
      <w:r>
        <w:rPr>
          <w:rFonts w:ascii="Times New Roman" w:hAnsi="Times New Roman" w:cs="Times New Roman"/>
          <w:sz w:val="24"/>
          <w:szCs w:val="24"/>
        </w:rPr>
        <w:t xml:space="preserve"> y Holmes, 2012; </w:t>
      </w:r>
      <w:proofErr w:type="spellStart"/>
      <w:r>
        <w:rPr>
          <w:rFonts w:ascii="Times New Roman" w:hAnsi="Times New Roman" w:cs="Times New Roman"/>
          <w:sz w:val="24"/>
          <w:szCs w:val="24"/>
        </w:rPr>
        <w:t>Shapiro</w:t>
      </w:r>
      <w:proofErr w:type="spellEnd"/>
      <w:r>
        <w:rPr>
          <w:rFonts w:ascii="Times New Roman" w:hAnsi="Times New Roman" w:cs="Times New Roman"/>
          <w:sz w:val="24"/>
          <w:szCs w:val="24"/>
        </w:rPr>
        <w:t>, 2012)</w:t>
      </w:r>
      <w:r w:rsidRPr="009342ED">
        <w:rPr>
          <w:rFonts w:ascii="Times New Roman" w:hAnsi="Times New Roman" w:cs="Times New Roman"/>
          <w:sz w:val="24"/>
          <w:szCs w:val="24"/>
        </w:rPr>
        <w:t>. La armonía que se busca entre los derechos, la justicia y la fuerza se encuentran en las políticas públicas democráticas orientadas a la construcción del Buen Vivir, creando así las condiciones para el continuo mejoramiento de la sociedad, su Estado y su economía de acuerdo al ideal identificado: la democracia del Buen Vivir, donde la dominación es eliminada</w:t>
      </w:r>
      <w:r>
        <w:rPr>
          <w:rFonts w:ascii="Times New Roman" w:hAnsi="Times New Roman" w:cs="Times New Roman"/>
          <w:sz w:val="24"/>
          <w:szCs w:val="24"/>
        </w:rPr>
        <w:t xml:space="preserve"> (Restrepo, 2015a)</w:t>
      </w:r>
      <w:r w:rsidRPr="009342ED">
        <w:rPr>
          <w:rFonts w:ascii="Times New Roman" w:hAnsi="Times New Roman" w:cs="Times New Roman"/>
          <w:sz w:val="24"/>
          <w:szCs w:val="24"/>
        </w:rPr>
        <w:t xml:space="preserve">. </w:t>
      </w:r>
    </w:p>
    <w:p w:rsidR="00935036" w:rsidRDefault="00935036" w:rsidP="00935036">
      <w:pPr>
        <w:spacing w:line="240" w:lineRule="auto"/>
        <w:jc w:val="both"/>
        <w:rPr>
          <w:rFonts w:ascii="Times New Roman" w:hAnsi="Times New Roman" w:cs="Times New Roman"/>
          <w:sz w:val="24"/>
          <w:szCs w:val="24"/>
        </w:rPr>
      </w:pPr>
    </w:p>
    <w:p w:rsidR="00935036" w:rsidRPr="009342ED" w:rsidRDefault="00935036" w:rsidP="0093503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centralidad de los derechos humanos y las políticas públicas reciben un gran énfasis en la Constitución de la República adoptada el 2008. </w:t>
      </w:r>
      <w:r w:rsidRPr="009342ED">
        <w:rPr>
          <w:rFonts w:ascii="Times New Roman" w:hAnsi="Times New Roman" w:cs="Times New Roman"/>
          <w:sz w:val="24"/>
          <w:szCs w:val="24"/>
        </w:rPr>
        <w:t xml:space="preserve">En contraste con la Constitución de 1998, que fue elaborada sin debida autorización e impuesta anti-democráticamente desde </w:t>
      </w:r>
      <w:r w:rsidRPr="009342ED">
        <w:rPr>
          <w:rFonts w:ascii="Times New Roman" w:hAnsi="Times New Roman" w:cs="Times New Roman"/>
          <w:sz w:val="24"/>
          <w:szCs w:val="24"/>
        </w:rPr>
        <w:lastRenderedPageBreak/>
        <w:t xml:space="preserve">un recinto militar en </w:t>
      </w:r>
      <w:proofErr w:type="spellStart"/>
      <w:r w:rsidRPr="009342ED">
        <w:rPr>
          <w:rFonts w:ascii="Times New Roman" w:hAnsi="Times New Roman" w:cs="Times New Roman"/>
          <w:sz w:val="24"/>
          <w:szCs w:val="24"/>
        </w:rPr>
        <w:t>Sangolquí</w:t>
      </w:r>
      <w:proofErr w:type="spellEnd"/>
      <w:r w:rsidRPr="009342ED">
        <w:rPr>
          <w:rFonts w:ascii="Times New Roman" w:hAnsi="Times New Roman" w:cs="Times New Roman"/>
          <w:sz w:val="24"/>
          <w:szCs w:val="24"/>
        </w:rPr>
        <w:t xml:space="preserve"> por partidos sin representatividad, y que entre otros daños institucionalizaba el mecanismo para la garantía pública de la banca, la Constitución del 2008 fue elaborada por una Asamblea Constituyente facultada democráticamente con plenos poderes, obtuvo alta participación ciudadana en el proceso de diseño y fue ratificada en las urnas con más del 60% del voto popular. En ella, se establece que el Estado tiene el deber primordial de asegurar el derecho a la educación (Art. 3 y 26), centrado en el ser humano y su desarrollo holístico, “en el marco del respeto a los derechos humanos, al medio ambiente sustentable y a la democracia; será participativa, obligatoria, intercultural, democrática, incluyente y diversa, de calidad y calidez; impulsará la equidad de género, la justicia, la solidaridad y la paz; estimulará el sentido crítico, el arte y la cultura física, la iniciativa individual y comunitaria, y el desarrollo de competencias y ca</w:t>
      </w:r>
      <w:r>
        <w:rPr>
          <w:rFonts w:ascii="Times New Roman" w:hAnsi="Times New Roman" w:cs="Times New Roman"/>
          <w:sz w:val="24"/>
          <w:szCs w:val="24"/>
        </w:rPr>
        <w:t xml:space="preserve">pacidades para crear y trabajar. </w:t>
      </w:r>
      <w:r w:rsidRPr="009342ED">
        <w:rPr>
          <w:rFonts w:ascii="Times New Roman" w:hAnsi="Times New Roman" w:cs="Times New Roman"/>
          <w:sz w:val="24"/>
          <w:szCs w:val="24"/>
        </w:rPr>
        <w:t>La educación es indispensable para el conocimiento, el ejercicio de los derechos y la construcción de un país soberano, y constituye un eje estratégico para el desarrollo nacional (Art. 27). Según la Constitución, la educación es obligatoria en niveles inicial, de básica y bachillerato o su equivalente y la educación pública es “universal y laica en todos sus niveles, y gratuita</w:t>
      </w:r>
      <w:r>
        <w:rPr>
          <w:rFonts w:ascii="Times New Roman" w:hAnsi="Times New Roman" w:cs="Times New Roman"/>
          <w:sz w:val="24"/>
          <w:szCs w:val="24"/>
        </w:rPr>
        <w:t xml:space="preserve"> </w:t>
      </w:r>
      <w:r w:rsidRPr="009342ED">
        <w:rPr>
          <w:rFonts w:ascii="Times New Roman" w:hAnsi="Times New Roman" w:cs="Times New Roman"/>
          <w:sz w:val="24"/>
          <w:szCs w:val="24"/>
        </w:rPr>
        <w:t xml:space="preserve">hasta el tercer nivel de educación superior inclusive” (Art. 28). </w:t>
      </w:r>
    </w:p>
    <w:p w:rsidR="00935036" w:rsidRPr="009342ED" w:rsidRDefault="00935036" w:rsidP="00935036">
      <w:pPr>
        <w:spacing w:line="240" w:lineRule="auto"/>
        <w:jc w:val="both"/>
        <w:rPr>
          <w:rFonts w:ascii="Times New Roman" w:hAnsi="Times New Roman" w:cs="Times New Roman"/>
          <w:sz w:val="24"/>
          <w:szCs w:val="24"/>
        </w:rPr>
      </w:pPr>
    </w:p>
    <w:p w:rsidR="00935036" w:rsidRDefault="00935036" w:rsidP="00935036">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El Ecuador ha emprendido esta senda de desarrollo humano y nacional. Este libro presenta algunos de los ejes principales de la acción colectiva en política educativa y su desempeño en la última década, enfocándose en la línea base de cobertura y calidad en </w:t>
      </w:r>
      <w:r>
        <w:rPr>
          <w:rFonts w:ascii="Times New Roman" w:hAnsi="Times New Roman" w:cs="Times New Roman"/>
          <w:sz w:val="24"/>
          <w:szCs w:val="24"/>
        </w:rPr>
        <w:t>los niveles dentro del Sistema Nacional de Educación y el Sistema de Educación Superior</w:t>
      </w:r>
      <w:r w:rsidRPr="009342ED">
        <w:rPr>
          <w:rFonts w:ascii="Times New Roman" w:hAnsi="Times New Roman" w:cs="Times New Roman"/>
          <w:sz w:val="24"/>
          <w:szCs w:val="24"/>
        </w:rPr>
        <w:t xml:space="preserve">. Para el análisis de la acción colectiva de las políticas públicas, se basa en la reconstrucción histórica de las principales dinámicas sociales, económicas, políticas y jurídicas pertinentes. Los datos sobre el desempeño en cobertura y calidad se basan principalmente en los estudios </w:t>
      </w:r>
      <w:r>
        <w:rPr>
          <w:rFonts w:ascii="Times New Roman" w:hAnsi="Times New Roman" w:cs="Times New Roman"/>
          <w:sz w:val="24"/>
          <w:szCs w:val="24"/>
        </w:rPr>
        <w:t>Encuesta Nacional de Empleo, Desempleo y Subempleo (</w:t>
      </w:r>
      <w:r w:rsidRPr="009342ED">
        <w:rPr>
          <w:rFonts w:ascii="Times New Roman" w:hAnsi="Times New Roman" w:cs="Times New Roman"/>
          <w:sz w:val="24"/>
          <w:szCs w:val="24"/>
        </w:rPr>
        <w:t>ENEMDU</w:t>
      </w:r>
      <w:r>
        <w:rPr>
          <w:rFonts w:ascii="Times New Roman" w:hAnsi="Times New Roman" w:cs="Times New Roman"/>
          <w:sz w:val="24"/>
          <w:szCs w:val="24"/>
        </w:rPr>
        <w:t>) del Instituto Nacional de Estadística y Censos</w:t>
      </w:r>
      <w:r w:rsidRPr="009342ED">
        <w:rPr>
          <w:rFonts w:ascii="Times New Roman" w:hAnsi="Times New Roman" w:cs="Times New Roman"/>
          <w:sz w:val="24"/>
          <w:szCs w:val="24"/>
        </w:rPr>
        <w:t>,</w:t>
      </w:r>
      <w:r>
        <w:rPr>
          <w:rFonts w:ascii="Times New Roman" w:hAnsi="Times New Roman" w:cs="Times New Roman"/>
          <w:sz w:val="24"/>
          <w:szCs w:val="24"/>
        </w:rPr>
        <w:t xml:space="preserve"> los datos del Instituto Nacional de Evaluación Educativa (</w:t>
      </w:r>
      <w:r w:rsidRPr="009342ED">
        <w:rPr>
          <w:rFonts w:ascii="Times New Roman" w:hAnsi="Times New Roman" w:cs="Times New Roman"/>
          <w:sz w:val="24"/>
          <w:szCs w:val="24"/>
        </w:rPr>
        <w:t>INEVAL</w:t>
      </w:r>
      <w:r>
        <w:rPr>
          <w:rFonts w:ascii="Times New Roman" w:hAnsi="Times New Roman" w:cs="Times New Roman"/>
          <w:sz w:val="24"/>
          <w:szCs w:val="24"/>
        </w:rPr>
        <w:t>),</w:t>
      </w:r>
      <w:r w:rsidRPr="009342ED">
        <w:rPr>
          <w:rFonts w:ascii="Times New Roman" w:hAnsi="Times New Roman" w:cs="Times New Roman"/>
          <w:sz w:val="24"/>
          <w:szCs w:val="24"/>
        </w:rPr>
        <w:t xml:space="preserve"> </w:t>
      </w:r>
      <w:r>
        <w:rPr>
          <w:rFonts w:ascii="Times New Roman" w:hAnsi="Times New Roman" w:cs="Times New Roman"/>
          <w:sz w:val="24"/>
          <w:szCs w:val="24"/>
        </w:rPr>
        <w:t xml:space="preserve">los estudios de Rendición de Cuentas del Ministerio de Educación y de la Secretaría Nacional de Educación Superior, Ciencia, Tecnología e Innovación (SENESCYT), del Foro Económico Mundial y </w:t>
      </w:r>
      <w:r w:rsidRPr="009342ED">
        <w:rPr>
          <w:rFonts w:ascii="Times New Roman" w:hAnsi="Times New Roman" w:cs="Times New Roman"/>
          <w:sz w:val="24"/>
          <w:szCs w:val="24"/>
        </w:rPr>
        <w:t xml:space="preserve">de la </w:t>
      </w:r>
      <w:r w:rsidRPr="001026EB">
        <w:rPr>
          <w:rFonts w:ascii="Times New Roman" w:hAnsi="Times New Roman" w:cs="Times New Roman"/>
          <w:sz w:val="24"/>
          <w:szCs w:val="24"/>
        </w:rPr>
        <w:t>Organización de las Naciones Unidas para la Educación, la Ciencia y la Cultura</w:t>
      </w:r>
      <w:r w:rsidRPr="009342ED">
        <w:rPr>
          <w:rFonts w:ascii="Times New Roman" w:hAnsi="Times New Roman" w:cs="Times New Roman"/>
          <w:sz w:val="24"/>
          <w:szCs w:val="24"/>
        </w:rPr>
        <w:t xml:space="preserve"> </w:t>
      </w:r>
      <w:r>
        <w:rPr>
          <w:rFonts w:ascii="Times New Roman" w:hAnsi="Times New Roman" w:cs="Times New Roman"/>
          <w:sz w:val="24"/>
          <w:szCs w:val="24"/>
        </w:rPr>
        <w:t>(</w:t>
      </w:r>
      <w:r w:rsidRPr="009342ED">
        <w:rPr>
          <w:rFonts w:ascii="Times New Roman" w:hAnsi="Times New Roman" w:cs="Times New Roman"/>
          <w:sz w:val="24"/>
          <w:szCs w:val="24"/>
        </w:rPr>
        <w:t>UNESCO</w:t>
      </w:r>
      <w:r>
        <w:rPr>
          <w:rFonts w:ascii="Times New Roman" w:hAnsi="Times New Roman" w:cs="Times New Roman"/>
          <w:sz w:val="24"/>
          <w:szCs w:val="24"/>
        </w:rPr>
        <w:t>)</w:t>
      </w:r>
      <w:r w:rsidRPr="009342ED">
        <w:rPr>
          <w:rFonts w:ascii="Times New Roman" w:hAnsi="Times New Roman" w:cs="Times New Roman"/>
          <w:sz w:val="24"/>
          <w:szCs w:val="24"/>
        </w:rPr>
        <w:t>.</w:t>
      </w:r>
      <w:r>
        <w:rPr>
          <w:rFonts w:ascii="Times New Roman" w:hAnsi="Times New Roman" w:cs="Times New Roman"/>
          <w:sz w:val="24"/>
          <w:szCs w:val="24"/>
        </w:rPr>
        <w:t xml:space="preserve"> Las cifras nacionales son el resultado de un esfuerzo investigativo grande de los últimos años por parte de estas instituciones nacionales de obtener medidas y datos confiables que brinden el conocimiento oportuno para el entendimiento, la transparencia, la discusión democrática, la investigación científica y las decisiones de políticas públicas informadas.</w:t>
      </w:r>
    </w:p>
    <w:p w:rsidR="00935036" w:rsidRDefault="00935036" w:rsidP="00935036">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82BD9"/>
    <w:multiLevelType w:val="hybridMultilevel"/>
    <w:tmpl w:val="BBDA2D4A"/>
    <w:lvl w:ilvl="0" w:tplc="FC0CE706">
      <w:start w:val="1"/>
      <w:numFmt w:val="decimal"/>
      <w:lvlText w:val="%1."/>
      <w:lvlJc w:val="left"/>
      <w:pPr>
        <w:ind w:left="720" w:hanging="360"/>
      </w:pPr>
      <w:rPr>
        <w:rFonts w:hint="default"/>
        <w:sz w:val="32"/>
        <w:szCs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935036"/>
    <w:rsid w:val="00B33AD2"/>
    <w:rsid w:val="00BF442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938</Words>
  <Characters>5165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2</cp:revision>
  <dcterms:created xsi:type="dcterms:W3CDTF">2017-12-30T02:58:00Z</dcterms:created>
  <dcterms:modified xsi:type="dcterms:W3CDTF">2017-12-30T03:31:00Z</dcterms:modified>
</cp:coreProperties>
</file>